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A9D522" w14:textId="77777777" w:rsidR="00A430D2" w:rsidRDefault="00E718F9" w:rsidP="00E718F9">
      <w:pPr>
        <w:pStyle w:val="Sinespaciado"/>
        <w:ind w:left="34"/>
        <w:jc w:val="center"/>
        <w:rPr>
          <w:rFonts w:ascii="Arial Narrow" w:hAnsi="Arial Narrow" w:cs="Arial"/>
          <w:b/>
          <w:bCs/>
        </w:rPr>
      </w:pPr>
      <w:r w:rsidRPr="0025134E">
        <w:rPr>
          <w:rFonts w:ascii="Arial Narrow" w:hAnsi="Arial Narrow" w:cs="Arial"/>
          <w:b/>
          <w:bCs/>
        </w:rPr>
        <w:t xml:space="preserve">INFORME DE </w:t>
      </w:r>
      <w:r w:rsidR="00791C7A">
        <w:rPr>
          <w:rFonts w:ascii="Arial Narrow" w:hAnsi="Arial Narrow" w:cs="Arial"/>
          <w:b/>
          <w:bCs/>
        </w:rPr>
        <w:t xml:space="preserve">AVANCE DEL CUMPLIMIENTO DE </w:t>
      </w:r>
      <w:r w:rsidRPr="0025134E">
        <w:rPr>
          <w:rFonts w:ascii="Arial Narrow" w:hAnsi="Arial Narrow" w:cs="Arial"/>
          <w:b/>
          <w:bCs/>
        </w:rPr>
        <w:t xml:space="preserve">LAS </w:t>
      </w:r>
      <w:r w:rsidR="00A430D2">
        <w:rPr>
          <w:rFonts w:ascii="Arial Narrow" w:hAnsi="Arial Narrow" w:cs="Arial"/>
          <w:b/>
          <w:bCs/>
        </w:rPr>
        <w:t>METAS FÍSICAS Y FINANCIERAS</w:t>
      </w:r>
    </w:p>
    <w:p w14:paraId="6B9F22D9" w14:textId="77777777" w:rsidR="00941CB6" w:rsidRDefault="00E718F9" w:rsidP="00E718F9">
      <w:pPr>
        <w:pStyle w:val="Sinespaciado"/>
        <w:ind w:left="34"/>
        <w:jc w:val="center"/>
        <w:rPr>
          <w:rFonts w:ascii="Arial Narrow" w:hAnsi="Arial Narrow" w:cs="Arial"/>
          <w:b/>
          <w:bCs/>
        </w:rPr>
      </w:pPr>
      <w:r w:rsidRPr="0025134E">
        <w:rPr>
          <w:rFonts w:ascii="Arial Narrow" w:hAnsi="Arial Narrow" w:cs="Arial"/>
          <w:b/>
          <w:bCs/>
        </w:rPr>
        <w:t xml:space="preserve">DEL SECTOR </w:t>
      </w:r>
      <w:r w:rsidR="00D60237" w:rsidRPr="00D60237">
        <w:rPr>
          <w:rFonts w:ascii="Arial Narrow" w:hAnsi="Arial Narrow" w:cs="Arial"/>
          <w:b/>
          <w:bCs/>
        </w:rPr>
        <w:t>DEFENSA</w:t>
      </w:r>
      <w:r w:rsidR="00B32785" w:rsidRPr="0025134E">
        <w:rPr>
          <w:rFonts w:ascii="Arial Narrow" w:hAnsi="Arial Narrow" w:cs="Arial"/>
          <w:b/>
          <w:bCs/>
        </w:rPr>
        <w:t xml:space="preserve"> </w:t>
      </w:r>
      <w:r w:rsidR="003A113C">
        <w:rPr>
          <w:rFonts w:ascii="Arial Narrow" w:hAnsi="Arial Narrow" w:cs="Arial"/>
          <w:b/>
          <w:bCs/>
        </w:rPr>
        <w:t>D</w:t>
      </w:r>
      <w:r w:rsidR="00720899" w:rsidRPr="0025134E">
        <w:rPr>
          <w:rFonts w:ascii="Arial Narrow" w:hAnsi="Arial Narrow" w:cs="Arial"/>
          <w:b/>
          <w:bCs/>
        </w:rPr>
        <w:t xml:space="preserve">EL </w:t>
      </w:r>
      <w:r w:rsidRPr="0025134E">
        <w:rPr>
          <w:rFonts w:ascii="Arial Narrow" w:hAnsi="Arial Narrow" w:cs="Arial"/>
          <w:b/>
          <w:bCs/>
        </w:rPr>
        <w:t xml:space="preserve">PLAN MULTISECTORIAL ANTE </w:t>
      </w:r>
      <w:r w:rsidR="00720899" w:rsidRPr="0025134E">
        <w:rPr>
          <w:rFonts w:ascii="Arial Narrow" w:hAnsi="Arial Narrow" w:cs="Arial"/>
          <w:b/>
          <w:bCs/>
        </w:rPr>
        <w:t>LLUVIAS INTENSAS</w:t>
      </w:r>
    </w:p>
    <w:p w14:paraId="4E342E39" w14:textId="3CE5FA67" w:rsidR="00DD2FA4" w:rsidRPr="0025134E" w:rsidRDefault="00720899" w:rsidP="00E718F9">
      <w:pPr>
        <w:pStyle w:val="Sinespaciado"/>
        <w:ind w:left="34"/>
        <w:jc w:val="center"/>
        <w:rPr>
          <w:rFonts w:ascii="Arial Narrow" w:hAnsi="Arial Narrow" w:cs="Arial"/>
          <w:b/>
          <w:bCs/>
        </w:rPr>
      </w:pPr>
      <w:r w:rsidRPr="0025134E">
        <w:rPr>
          <w:rFonts w:ascii="Arial Narrow" w:hAnsi="Arial Narrow" w:cs="Arial"/>
          <w:b/>
          <w:bCs/>
        </w:rPr>
        <w:t xml:space="preserve">Y PELIGROS ASOCIADOS </w:t>
      </w:r>
      <w:r w:rsidR="00E718F9" w:rsidRPr="0025134E">
        <w:rPr>
          <w:rFonts w:ascii="Arial Narrow" w:hAnsi="Arial Narrow" w:cs="Arial"/>
          <w:b/>
          <w:bCs/>
        </w:rPr>
        <w:t>202</w:t>
      </w:r>
      <w:r w:rsidR="00546AD7">
        <w:rPr>
          <w:rFonts w:ascii="Arial Narrow" w:hAnsi="Arial Narrow" w:cs="Arial"/>
          <w:b/>
          <w:bCs/>
        </w:rPr>
        <w:t>5</w:t>
      </w:r>
      <w:r w:rsidR="00E718F9" w:rsidRPr="0025134E">
        <w:rPr>
          <w:rFonts w:ascii="Arial Narrow" w:hAnsi="Arial Narrow" w:cs="Arial"/>
          <w:b/>
          <w:bCs/>
        </w:rPr>
        <w:t xml:space="preserve"> – 202</w:t>
      </w:r>
      <w:r w:rsidR="00546AD7">
        <w:rPr>
          <w:rFonts w:ascii="Arial Narrow" w:hAnsi="Arial Narrow" w:cs="Arial"/>
          <w:b/>
          <w:bCs/>
        </w:rPr>
        <w:t>7</w:t>
      </w:r>
      <w:r w:rsidR="00941CB6">
        <w:rPr>
          <w:rFonts w:ascii="Arial Narrow" w:hAnsi="Arial Narrow" w:cs="Arial"/>
          <w:b/>
          <w:bCs/>
        </w:rPr>
        <w:t xml:space="preserve">, CORRESPONDIENTE A </w:t>
      </w:r>
      <w:r w:rsidR="00857A27">
        <w:rPr>
          <w:rFonts w:ascii="Arial Narrow" w:hAnsi="Arial Narrow" w:cs="Arial"/>
          <w:b/>
          <w:bCs/>
        </w:rPr>
        <w:t>JU</w:t>
      </w:r>
      <w:r w:rsidR="007012C9">
        <w:rPr>
          <w:rFonts w:ascii="Arial Narrow" w:hAnsi="Arial Narrow" w:cs="Arial"/>
          <w:b/>
          <w:bCs/>
        </w:rPr>
        <w:t>L</w:t>
      </w:r>
      <w:r w:rsidR="00857A27">
        <w:rPr>
          <w:rFonts w:ascii="Arial Narrow" w:hAnsi="Arial Narrow" w:cs="Arial"/>
          <w:b/>
          <w:bCs/>
        </w:rPr>
        <w:t>IO</w:t>
      </w:r>
      <w:r w:rsidR="006772D9">
        <w:rPr>
          <w:rFonts w:ascii="Arial Narrow" w:hAnsi="Arial Narrow" w:cs="Arial"/>
          <w:b/>
          <w:bCs/>
        </w:rPr>
        <w:t xml:space="preserve"> 2025</w:t>
      </w:r>
    </w:p>
    <w:p w14:paraId="42DE160D" w14:textId="77777777" w:rsidR="005842E2" w:rsidRDefault="005842E2" w:rsidP="00057160">
      <w:pPr>
        <w:pStyle w:val="Sinespaciado"/>
        <w:ind w:left="34"/>
        <w:rPr>
          <w:rFonts w:ascii="Arial Narrow" w:hAnsi="Arial Narrow" w:cs="Arial"/>
        </w:rPr>
      </w:pPr>
    </w:p>
    <w:p w14:paraId="4867FA2F" w14:textId="2D6D3E97" w:rsidR="006F2887" w:rsidRPr="0025134E" w:rsidRDefault="00A042DE" w:rsidP="006F2887">
      <w:pPr>
        <w:numPr>
          <w:ilvl w:val="0"/>
          <w:numId w:val="18"/>
        </w:numPr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25134E">
        <w:rPr>
          <w:rFonts w:ascii="Arial Narrow" w:hAnsi="Arial Narrow"/>
          <w:b/>
          <w:bCs/>
          <w:sz w:val="21"/>
          <w:szCs w:val="21"/>
          <w:lang w:val="es-PE"/>
        </w:rPr>
        <w:t>RESUMEN EJECUTIVO</w:t>
      </w:r>
    </w:p>
    <w:p w14:paraId="04F7D0DB" w14:textId="77777777" w:rsidR="00841C7F" w:rsidRDefault="00841C7F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4B4C0182" w14:textId="43CCEF15" w:rsidR="00E956E9" w:rsidRDefault="00570005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En cumplimiento a lo dispuesto en el Plan Multisectorial ante Lluvias Intensas y Peligros Asociados 2025 – 2027 (PLIA 2025-2027), e</w:t>
      </w:r>
      <w:r w:rsidR="00841C7F">
        <w:rPr>
          <w:rFonts w:ascii="Arial Narrow" w:hAnsi="Arial Narrow"/>
          <w:sz w:val="21"/>
          <w:szCs w:val="21"/>
          <w:lang w:val="es-PE"/>
        </w:rPr>
        <w:t xml:space="preserve">l Ministerio de Defensa, a través del CENEPRED, </w:t>
      </w:r>
      <w:r w:rsidR="00D60237">
        <w:rPr>
          <w:rFonts w:ascii="Arial Narrow" w:hAnsi="Arial Narrow"/>
          <w:sz w:val="21"/>
          <w:szCs w:val="21"/>
          <w:lang w:val="es-PE"/>
        </w:rPr>
        <w:t xml:space="preserve">ha programado para el año 2025 la elaboración </w:t>
      </w:r>
      <w:r w:rsidR="00F57A02">
        <w:rPr>
          <w:rFonts w:ascii="Arial Narrow" w:hAnsi="Arial Narrow"/>
          <w:sz w:val="21"/>
          <w:szCs w:val="21"/>
          <w:lang w:val="es-PE"/>
        </w:rPr>
        <w:t xml:space="preserve">de </w:t>
      </w:r>
      <w:r w:rsidR="00C36CE6">
        <w:rPr>
          <w:rFonts w:ascii="Arial Narrow" w:hAnsi="Arial Narrow"/>
          <w:sz w:val="21"/>
          <w:szCs w:val="21"/>
          <w:lang w:val="es-PE"/>
        </w:rPr>
        <w:t xml:space="preserve">02 </w:t>
      </w:r>
      <w:r w:rsidR="00D60237">
        <w:rPr>
          <w:rFonts w:ascii="Arial Narrow" w:hAnsi="Arial Narrow"/>
          <w:sz w:val="21"/>
          <w:szCs w:val="21"/>
          <w:lang w:val="es-PE"/>
        </w:rPr>
        <w:t>escenario</w:t>
      </w:r>
      <w:r w:rsidR="00C36CE6">
        <w:rPr>
          <w:rFonts w:ascii="Arial Narrow" w:hAnsi="Arial Narrow"/>
          <w:sz w:val="21"/>
          <w:szCs w:val="21"/>
          <w:lang w:val="es-PE"/>
        </w:rPr>
        <w:t>s</w:t>
      </w:r>
      <w:r w:rsidR="00D60237">
        <w:rPr>
          <w:rFonts w:ascii="Arial Narrow" w:hAnsi="Arial Narrow"/>
          <w:sz w:val="21"/>
          <w:szCs w:val="21"/>
          <w:lang w:val="es-PE"/>
        </w:rPr>
        <w:t xml:space="preserve"> de riesgo por inundaciones</w:t>
      </w:r>
      <w:r w:rsidR="003A154F">
        <w:rPr>
          <w:rFonts w:ascii="Arial Narrow" w:hAnsi="Arial Narrow"/>
          <w:sz w:val="21"/>
          <w:szCs w:val="21"/>
          <w:lang w:val="es-PE"/>
        </w:rPr>
        <w:t xml:space="preserve">, uno 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en la provincia de Nazca del </w:t>
      </w:r>
      <w:r w:rsidR="00C36CE6">
        <w:rPr>
          <w:rFonts w:ascii="Arial Narrow" w:hAnsi="Arial Narrow"/>
          <w:sz w:val="21"/>
          <w:szCs w:val="21"/>
          <w:lang w:val="es-PE"/>
        </w:rPr>
        <w:t xml:space="preserve">departamento de Ica y el otro 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en la provincia de Lucanas del departamento de </w:t>
      </w:r>
      <w:r w:rsidR="00C36CE6">
        <w:rPr>
          <w:rFonts w:ascii="Arial Narrow" w:hAnsi="Arial Narrow"/>
          <w:sz w:val="21"/>
          <w:szCs w:val="21"/>
          <w:lang w:val="es-PE"/>
        </w:rPr>
        <w:t>Ayacucho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, </w:t>
      </w:r>
      <w:r w:rsidR="00841C7F">
        <w:rPr>
          <w:rFonts w:ascii="Arial Narrow" w:hAnsi="Arial Narrow"/>
          <w:sz w:val="21"/>
          <w:szCs w:val="21"/>
          <w:lang w:val="es-PE"/>
        </w:rPr>
        <w:t>lo</w:t>
      </w:r>
      <w:r w:rsidR="00457FFD">
        <w:rPr>
          <w:rFonts w:ascii="Arial Narrow" w:hAnsi="Arial Narrow"/>
          <w:sz w:val="21"/>
          <w:szCs w:val="21"/>
          <w:lang w:val="es-PE"/>
        </w:rPr>
        <w:t>s</w:t>
      </w:r>
      <w:r w:rsidR="00841C7F">
        <w:rPr>
          <w:rFonts w:ascii="Arial Narrow" w:hAnsi="Arial Narrow"/>
          <w:sz w:val="21"/>
          <w:szCs w:val="21"/>
          <w:lang w:val="es-PE"/>
        </w:rPr>
        <w:t xml:space="preserve"> mismos que contribuirán en m</w:t>
      </w:r>
      <w:r w:rsidR="00841C7F" w:rsidRPr="00841C7F">
        <w:rPr>
          <w:rFonts w:ascii="Arial Narrow" w:hAnsi="Arial Narrow"/>
          <w:sz w:val="21"/>
          <w:szCs w:val="21"/>
          <w:lang w:val="es-PE"/>
        </w:rPr>
        <w:t xml:space="preserve">ejorar el conocimiento del riesgo </w:t>
      </w:r>
      <w:r w:rsidR="00841C7F">
        <w:rPr>
          <w:rFonts w:ascii="Arial Narrow" w:hAnsi="Arial Narrow"/>
          <w:sz w:val="21"/>
          <w:szCs w:val="21"/>
          <w:lang w:val="es-PE"/>
        </w:rPr>
        <w:t>frente a este peligro a los gobiernos locales y regionales respectivos.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 </w:t>
      </w:r>
    </w:p>
    <w:p w14:paraId="3F628A7E" w14:textId="77777777" w:rsidR="00E956E9" w:rsidRDefault="00E956E9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18D1379D" w14:textId="0B6B5544" w:rsidR="000A34DE" w:rsidRDefault="00841C7F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El desarrollo de estos escenarios de riesgos </w:t>
      </w:r>
      <w:r w:rsidR="000A34DE">
        <w:rPr>
          <w:rFonts w:ascii="Arial Narrow" w:hAnsi="Arial Narrow"/>
          <w:sz w:val="21"/>
          <w:szCs w:val="21"/>
          <w:lang w:val="es-PE"/>
        </w:rPr>
        <w:t xml:space="preserve">por inundación 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contempla </w:t>
      </w:r>
      <w:r w:rsidR="000A34DE">
        <w:rPr>
          <w:rFonts w:ascii="Arial Narrow" w:hAnsi="Arial Narrow"/>
          <w:sz w:val="21"/>
          <w:szCs w:val="21"/>
          <w:lang w:val="es-PE"/>
        </w:rPr>
        <w:t xml:space="preserve">tres fases, </w:t>
      </w:r>
      <w:r w:rsidR="00C36CE6">
        <w:rPr>
          <w:rFonts w:ascii="Arial Narrow" w:hAnsi="Arial Narrow"/>
          <w:sz w:val="21"/>
          <w:szCs w:val="21"/>
          <w:lang w:val="es-PE"/>
        </w:rPr>
        <w:t xml:space="preserve">el </w:t>
      </w:r>
      <w:r w:rsidR="000A34DE">
        <w:rPr>
          <w:rFonts w:ascii="Arial Narrow" w:hAnsi="Arial Narrow"/>
          <w:sz w:val="21"/>
          <w:szCs w:val="21"/>
          <w:lang w:val="es-PE"/>
        </w:rPr>
        <w:t xml:space="preserve">primero corresponde al </w:t>
      </w:r>
      <w:r>
        <w:rPr>
          <w:rFonts w:ascii="Arial Narrow" w:hAnsi="Arial Narrow"/>
          <w:sz w:val="21"/>
          <w:szCs w:val="21"/>
          <w:lang w:val="es-PE"/>
        </w:rPr>
        <w:t xml:space="preserve">análisis </w:t>
      </w:r>
      <w:r w:rsidR="00C36CE6">
        <w:rPr>
          <w:rFonts w:ascii="Arial Narrow" w:hAnsi="Arial Narrow"/>
          <w:sz w:val="21"/>
          <w:szCs w:val="21"/>
          <w:lang w:val="es-PE"/>
        </w:rPr>
        <w:t xml:space="preserve">de susceptibilidad </w:t>
      </w:r>
      <w:r w:rsidR="003A154F">
        <w:rPr>
          <w:rFonts w:ascii="Arial Narrow" w:hAnsi="Arial Narrow"/>
          <w:sz w:val="21"/>
          <w:szCs w:val="21"/>
          <w:lang w:val="es-PE"/>
        </w:rPr>
        <w:t xml:space="preserve">a </w:t>
      </w:r>
      <w:r>
        <w:rPr>
          <w:rFonts w:ascii="Arial Narrow" w:hAnsi="Arial Narrow"/>
          <w:sz w:val="21"/>
          <w:szCs w:val="21"/>
          <w:lang w:val="es-PE"/>
        </w:rPr>
        <w:t>la ocurrencia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 de</w:t>
      </w:r>
      <w:r>
        <w:rPr>
          <w:rFonts w:ascii="Arial Narrow" w:hAnsi="Arial Narrow"/>
          <w:sz w:val="21"/>
          <w:szCs w:val="21"/>
          <w:lang w:val="es-PE"/>
        </w:rPr>
        <w:t xml:space="preserve"> </w:t>
      </w:r>
      <w:r w:rsidR="003A154F">
        <w:rPr>
          <w:rFonts w:ascii="Arial Narrow" w:hAnsi="Arial Narrow"/>
          <w:sz w:val="21"/>
          <w:szCs w:val="21"/>
          <w:lang w:val="es-PE"/>
        </w:rPr>
        <w:t>inundaciones</w:t>
      </w:r>
      <w:r w:rsidR="00457FFD">
        <w:rPr>
          <w:rFonts w:ascii="Arial Narrow" w:hAnsi="Arial Narrow"/>
          <w:sz w:val="21"/>
          <w:szCs w:val="21"/>
          <w:lang w:val="es-PE"/>
        </w:rPr>
        <w:t>,</w:t>
      </w:r>
      <w:r w:rsidR="003A154F">
        <w:rPr>
          <w:rFonts w:ascii="Arial Narrow" w:hAnsi="Arial Narrow"/>
          <w:sz w:val="21"/>
          <w:szCs w:val="21"/>
          <w:lang w:val="es-PE"/>
        </w:rPr>
        <w:t xml:space="preserve"> 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considerando como área de estudio </w:t>
      </w:r>
      <w:r w:rsidR="003A154F">
        <w:rPr>
          <w:rFonts w:ascii="Arial Narrow" w:hAnsi="Arial Narrow"/>
          <w:sz w:val="21"/>
          <w:szCs w:val="21"/>
          <w:lang w:val="es-PE"/>
        </w:rPr>
        <w:t>la cuenca del río Grande</w:t>
      </w:r>
      <w:r w:rsidR="007B233E">
        <w:rPr>
          <w:rFonts w:ascii="Arial Narrow" w:hAnsi="Arial Narrow"/>
          <w:sz w:val="21"/>
          <w:szCs w:val="21"/>
          <w:lang w:val="es-PE"/>
        </w:rPr>
        <w:t>,</w:t>
      </w:r>
      <w:r w:rsidR="007B233E" w:rsidRPr="006954DF">
        <w:rPr>
          <w:rFonts w:ascii="Arial Narrow" w:hAnsi="Arial Narrow"/>
          <w:sz w:val="21"/>
          <w:szCs w:val="21"/>
          <w:lang w:val="es-PE"/>
        </w:rPr>
        <w:t xml:space="preserve"> </w:t>
      </w:r>
      <w:r w:rsidR="00F57A02">
        <w:rPr>
          <w:rFonts w:ascii="Arial Narrow" w:hAnsi="Arial Narrow"/>
          <w:sz w:val="21"/>
          <w:szCs w:val="21"/>
          <w:lang w:val="es-PE"/>
        </w:rPr>
        <w:t>que aba</w:t>
      </w:r>
      <w:r>
        <w:rPr>
          <w:rFonts w:ascii="Arial Narrow" w:hAnsi="Arial Narrow"/>
          <w:sz w:val="21"/>
          <w:szCs w:val="21"/>
          <w:lang w:val="es-PE"/>
        </w:rPr>
        <w:t>r</w:t>
      </w:r>
      <w:r w:rsidR="00F57A02">
        <w:rPr>
          <w:rFonts w:ascii="Arial Narrow" w:hAnsi="Arial Narrow"/>
          <w:sz w:val="21"/>
          <w:szCs w:val="21"/>
          <w:lang w:val="es-PE"/>
        </w:rPr>
        <w:t xml:space="preserve">ca </w:t>
      </w:r>
      <w:r w:rsidR="007B233E" w:rsidRPr="007B233E">
        <w:rPr>
          <w:rFonts w:ascii="Arial Narrow" w:hAnsi="Arial Narrow"/>
          <w:sz w:val="21"/>
          <w:szCs w:val="21"/>
          <w:lang w:val="es-PE"/>
        </w:rPr>
        <w:t>las provincias de Nasca (Ica) y Lucanas (Ayacucho)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, tal como se muestra en la </w:t>
      </w:r>
      <w:r w:rsidR="000A34DE">
        <w:rPr>
          <w:rFonts w:ascii="Arial Narrow" w:hAnsi="Arial Narrow"/>
          <w:sz w:val="21"/>
          <w:szCs w:val="21"/>
          <w:lang w:val="es-PE"/>
        </w:rPr>
        <w:t>F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igura </w:t>
      </w:r>
      <w:r w:rsidR="000A34DE">
        <w:rPr>
          <w:rFonts w:ascii="Arial Narrow" w:hAnsi="Arial Narrow"/>
          <w:sz w:val="21"/>
          <w:szCs w:val="21"/>
          <w:lang w:val="es-PE"/>
        </w:rPr>
        <w:t xml:space="preserve">N° </w:t>
      </w:r>
      <w:r w:rsidR="00457FFD">
        <w:rPr>
          <w:rFonts w:ascii="Arial Narrow" w:hAnsi="Arial Narrow"/>
          <w:sz w:val="21"/>
          <w:szCs w:val="21"/>
          <w:lang w:val="es-PE"/>
        </w:rPr>
        <w:t>1</w:t>
      </w:r>
      <w:r w:rsidR="006E3AF6" w:rsidRPr="00D04EFF">
        <w:rPr>
          <w:rFonts w:ascii="Arial Narrow" w:hAnsi="Arial Narrow"/>
          <w:sz w:val="21"/>
          <w:szCs w:val="21"/>
          <w:lang w:val="es-PE"/>
        </w:rPr>
        <w:t>.</w:t>
      </w:r>
      <w:r w:rsidR="006954DF">
        <w:rPr>
          <w:rFonts w:ascii="Arial Narrow" w:hAnsi="Arial Narrow"/>
          <w:sz w:val="21"/>
          <w:szCs w:val="21"/>
          <w:lang w:val="es-PE"/>
        </w:rPr>
        <w:t xml:space="preserve"> </w:t>
      </w:r>
      <w:r w:rsidR="000A34DE">
        <w:rPr>
          <w:rFonts w:ascii="Arial Narrow" w:hAnsi="Arial Narrow"/>
          <w:sz w:val="21"/>
          <w:szCs w:val="21"/>
          <w:lang w:val="es-PE"/>
        </w:rPr>
        <w:t>El resultado de este análisis será representado a través de un mapa, el cual permitirá identificar las áreas con mayor propensión a ser inundadas.</w:t>
      </w:r>
    </w:p>
    <w:p w14:paraId="55655600" w14:textId="77777777" w:rsidR="000A34DE" w:rsidRDefault="000A34DE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298B9446" w14:textId="6DE9F68D" w:rsidR="00243AF2" w:rsidRPr="00E956E9" w:rsidRDefault="00243AF2" w:rsidP="00243AF2">
      <w:pPr>
        <w:pStyle w:val="Descripcin"/>
        <w:keepNext/>
        <w:spacing w:after="120"/>
        <w:jc w:val="both"/>
        <w:rPr>
          <w:rFonts w:ascii="Arial Narrow" w:hAnsi="Arial Narrow"/>
          <w:color w:val="auto"/>
        </w:rPr>
      </w:pPr>
      <w:r w:rsidRPr="00E956E9">
        <w:rPr>
          <w:rFonts w:ascii="Arial Narrow" w:hAnsi="Arial Narrow"/>
          <w:color w:val="auto"/>
        </w:rPr>
        <w:t xml:space="preserve">Figura  </w:t>
      </w:r>
      <w:r w:rsidRPr="00E956E9">
        <w:rPr>
          <w:rFonts w:ascii="Arial Narrow" w:hAnsi="Arial Narrow"/>
          <w:color w:val="auto"/>
        </w:rPr>
        <w:fldChar w:fldCharType="begin"/>
      </w:r>
      <w:r w:rsidRPr="00E956E9">
        <w:rPr>
          <w:rFonts w:ascii="Arial Narrow" w:hAnsi="Arial Narrow"/>
          <w:color w:val="auto"/>
        </w:rPr>
        <w:instrText xml:space="preserve"> SEQ Figura_ \* ARABIC </w:instrText>
      </w:r>
      <w:r w:rsidRPr="00E956E9">
        <w:rPr>
          <w:rFonts w:ascii="Arial Narrow" w:hAnsi="Arial Narrow"/>
          <w:color w:val="auto"/>
        </w:rPr>
        <w:fldChar w:fldCharType="separate"/>
      </w:r>
      <w:r w:rsidR="00C52165">
        <w:rPr>
          <w:rFonts w:ascii="Arial Narrow" w:hAnsi="Arial Narrow"/>
          <w:noProof/>
          <w:color w:val="auto"/>
        </w:rPr>
        <w:t>1</w:t>
      </w:r>
      <w:r w:rsidRPr="00E956E9">
        <w:rPr>
          <w:rFonts w:ascii="Arial Narrow" w:hAnsi="Arial Narrow"/>
          <w:color w:val="auto"/>
        </w:rPr>
        <w:fldChar w:fldCharType="end"/>
      </w:r>
      <w:r w:rsidRPr="00E956E9">
        <w:rPr>
          <w:rFonts w:ascii="Arial Narrow" w:hAnsi="Arial Narrow"/>
          <w:color w:val="auto"/>
        </w:rPr>
        <w:t>. Área de estudio: Cuenca Grande</w:t>
      </w:r>
    </w:p>
    <w:p w14:paraId="6AC40FE1" w14:textId="77777777" w:rsidR="00243AF2" w:rsidRDefault="00243AF2" w:rsidP="00243AF2">
      <w:pPr>
        <w:keepNext/>
        <w:contextualSpacing/>
        <w:jc w:val="both"/>
      </w:pPr>
      <w:r>
        <w:rPr>
          <w:rFonts w:ascii="Arial Narrow" w:hAnsi="Arial Narrow"/>
          <w:noProof/>
          <w:sz w:val="21"/>
          <w:szCs w:val="21"/>
          <w:lang w:val="es-PE"/>
        </w:rPr>
        <w:drawing>
          <wp:inline distT="0" distB="0" distL="0" distR="0" wp14:anchorId="299C07AC" wp14:editId="6382D6B3">
            <wp:extent cx="3994150" cy="4666786"/>
            <wp:effectExtent l="19050" t="19050" r="25400" b="1968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6262" cy="47159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EA20B64" w14:textId="77777777" w:rsidR="00243AF2" w:rsidRPr="0088497B" w:rsidRDefault="00243AF2" w:rsidP="00243AF2">
      <w:pPr>
        <w:contextualSpacing/>
        <w:jc w:val="both"/>
        <w:rPr>
          <w:rFonts w:ascii="Arial Narrow" w:eastAsia="Times New Roman" w:hAnsi="Arial Narrow" w:cs="Arial"/>
          <w:sz w:val="20"/>
          <w:szCs w:val="20"/>
          <w:lang w:val="es-PE" w:eastAsia="en-US"/>
        </w:rPr>
      </w:pPr>
      <w:r w:rsidRPr="0088497B">
        <w:rPr>
          <w:rFonts w:ascii="Arial Narrow" w:hAnsi="Arial Narrow"/>
          <w:sz w:val="16"/>
          <w:szCs w:val="16"/>
          <w:lang w:val="es-PE"/>
        </w:rPr>
        <w:t>Nota: La delimitación de la cuenca Grande corresponde a la base de datos de la Autoridad Nacional de Agua (ANA) y los límites referenciales provinciales y departamentales a la base de datos del INEI. SIGRID-CENEPRED (2025).</w:t>
      </w:r>
    </w:p>
    <w:p w14:paraId="36BDC717" w14:textId="77777777" w:rsidR="00243AF2" w:rsidRDefault="00243AF2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3781F4FC" w14:textId="77777777" w:rsidR="00722E8A" w:rsidRDefault="00722E8A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119A68E8" w14:textId="77777777" w:rsidR="00722E8A" w:rsidRDefault="00722E8A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52B763A0" w14:textId="0FA03EEB" w:rsidR="00757CF5" w:rsidRDefault="000A34DE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La segunda fase corresponde a</w:t>
      </w:r>
      <w:r w:rsidR="006954DF">
        <w:rPr>
          <w:rFonts w:ascii="Arial Narrow" w:hAnsi="Arial Narrow"/>
          <w:sz w:val="21"/>
          <w:szCs w:val="21"/>
          <w:lang w:val="es-PE"/>
        </w:rPr>
        <w:t xml:space="preserve"> la identificación y 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el </w:t>
      </w:r>
      <w:r w:rsidR="006954DF">
        <w:rPr>
          <w:rFonts w:ascii="Arial Narrow" w:hAnsi="Arial Narrow"/>
          <w:sz w:val="21"/>
          <w:szCs w:val="21"/>
          <w:lang w:val="es-PE"/>
        </w:rPr>
        <w:t>análisis de los elementos expuestos a las áreas de inundación</w:t>
      </w:r>
      <w:r w:rsidR="00841C7F">
        <w:rPr>
          <w:rFonts w:ascii="Arial Narrow" w:hAnsi="Arial Narrow"/>
          <w:sz w:val="21"/>
          <w:szCs w:val="21"/>
          <w:lang w:val="es-PE"/>
        </w:rPr>
        <w:t>,</w:t>
      </w:r>
      <w:r w:rsidR="00F57A02">
        <w:rPr>
          <w:rFonts w:ascii="Arial Narrow" w:hAnsi="Arial Narrow"/>
          <w:sz w:val="21"/>
          <w:szCs w:val="21"/>
          <w:lang w:val="es-PE"/>
        </w:rPr>
        <w:t xml:space="preserve"> </w:t>
      </w:r>
      <w:r w:rsidR="00E60BE5">
        <w:rPr>
          <w:rFonts w:ascii="Arial Narrow" w:hAnsi="Arial Narrow"/>
          <w:sz w:val="21"/>
          <w:szCs w:val="21"/>
          <w:lang w:val="es-PE"/>
        </w:rPr>
        <w:t xml:space="preserve">tales como población, viviendas, instituciones educativas, establecimientos de salud, red vial, </w:t>
      </w:r>
      <w:r w:rsidR="00E956E9">
        <w:rPr>
          <w:rFonts w:ascii="Arial Narrow" w:hAnsi="Arial Narrow"/>
          <w:sz w:val="21"/>
          <w:szCs w:val="21"/>
          <w:lang w:val="es-PE"/>
        </w:rPr>
        <w:t xml:space="preserve">superficie agrícola, entre otros. Esto </w:t>
      </w:r>
      <w:r w:rsidR="00F57A02">
        <w:rPr>
          <w:rFonts w:ascii="Arial Narrow" w:hAnsi="Arial Narrow"/>
          <w:sz w:val="21"/>
          <w:szCs w:val="21"/>
          <w:lang w:val="es-PE"/>
        </w:rPr>
        <w:t>permitirá realizar el análisis de exposición para la determinación de los riesgos existentes en el área de estudio</w:t>
      </w:r>
      <w:r w:rsidR="006954DF">
        <w:rPr>
          <w:rFonts w:ascii="Arial Narrow" w:hAnsi="Arial Narrow"/>
          <w:sz w:val="21"/>
          <w:szCs w:val="21"/>
          <w:lang w:val="es-PE"/>
        </w:rPr>
        <w:t>.</w:t>
      </w:r>
    </w:p>
    <w:p w14:paraId="4EA083AE" w14:textId="77777777" w:rsidR="00F57A02" w:rsidRDefault="00F57A02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2D2263BD" w14:textId="4D757FC6" w:rsidR="006E3AF6" w:rsidRPr="00E956E9" w:rsidRDefault="00213CA9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E956E9">
        <w:rPr>
          <w:rFonts w:ascii="Arial Narrow" w:hAnsi="Arial Narrow"/>
          <w:sz w:val="21"/>
          <w:szCs w:val="21"/>
          <w:lang w:val="es-PE"/>
        </w:rPr>
        <w:t xml:space="preserve">En dicho plan se estipulan </w:t>
      </w:r>
      <w:r w:rsidR="00F57A02" w:rsidRPr="00E956E9">
        <w:rPr>
          <w:rFonts w:ascii="Arial Narrow" w:hAnsi="Arial Narrow"/>
          <w:sz w:val="21"/>
          <w:szCs w:val="21"/>
          <w:lang w:val="es-PE"/>
        </w:rPr>
        <w:t>02</w:t>
      </w:r>
      <w:r w:rsidRPr="00E956E9">
        <w:rPr>
          <w:rFonts w:ascii="Arial Narrow" w:hAnsi="Arial Narrow"/>
          <w:sz w:val="21"/>
          <w:szCs w:val="21"/>
          <w:lang w:val="es-PE"/>
        </w:rPr>
        <w:t xml:space="preserve"> intervenciones a cargo del </w:t>
      </w:r>
      <w:r w:rsidR="00F57A02" w:rsidRPr="00E956E9">
        <w:rPr>
          <w:rFonts w:ascii="Arial Narrow" w:hAnsi="Arial Narrow"/>
          <w:sz w:val="21"/>
          <w:szCs w:val="21"/>
          <w:lang w:val="es-PE"/>
        </w:rPr>
        <w:t>Cenepred</w:t>
      </w:r>
      <w:r w:rsidRPr="00E956E9">
        <w:rPr>
          <w:rFonts w:ascii="Arial Narrow" w:hAnsi="Arial Narrow"/>
          <w:sz w:val="21"/>
          <w:szCs w:val="21"/>
          <w:lang w:val="es-PE"/>
        </w:rPr>
        <w:t xml:space="preserve">, </w:t>
      </w:r>
      <w:r w:rsidR="00DE76FD" w:rsidRPr="00E956E9">
        <w:rPr>
          <w:rFonts w:ascii="Arial Narrow" w:hAnsi="Arial Narrow"/>
          <w:sz w:val="21"/>
          <w:szCs w:val="21"/>
          <w:lang w:val="es-PE"/>
        </w:rPr>
        <w:t>los cuales se detallan en la Tabla 1.</w:t>
      </w:r>
    </w:p>
    <w:p w14:paraId="0D8DDCD7" w14:textId="77777777" w:rsidR="006E3AF6" w:rsidRDefault="006E3AF6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1B2632B0" w14:textId="77B124B6" w:rsidR="00DE76FD" w:rsidRPr="005A146E" w:rsidRDefault="00DE76FD" w:rsidP="00832A57">
      <w:pPr>
        <w:contextualSpacing/>
        <w:jc w:val="both"/>
        <w:rPr>
          <w:rFonts w:ascii="Arial Narrow" w:hAnsi="Arial Narrow"/>
          <w:b/>
          <w:bCs/>
          <w:sz w:val="18"/>
          <w:szCs w:val="18"/>
          <w:lang w:val="es-PE"/>
        </w:rPr>
      </w:pPr>
      <w:bookmarkStart w:id="0" w:name="_Hlk187743772"/>
      <w:r w:rsidRPr="005A146E">
        <w:rPr>
          <w:rFonts w:ascii="Arial Narrow" w:hAnsi="Arial Narrow"/>
          <w:b/>
          <w:bCs/>
          <w:sz w:val="18"/>
          <w:szCs w:val="18"/>
          <w:lang w:val="es-PE"/>
        </w:rPr>
        <w:t>Tabla 1</w:t>
      </w:r>
    </w:p>
    <w:p w14:paraId="6C18D7C6" w14:textId="259A5598" w:rsidR="00B76D11" w:rsidRPr="00570005" w:rsidRDefault="00343D7B" w:rsidP="00832A57">
      <w:pPr>
        <w:contextualSpacing/>
        <w:jc w:val="both"/>
        <w:rPr>
          <w:rFonts w:ascii="Arial Narrow" w:hAnsi="Arial Narrow"/>
          <w:i/>
          <w:iCs/>
          <w:sz w:val="18"/>
          <w:szCs w:val="18"/>
          <w:lang w:val="es-PE"/>
        </w:rPr>
      </w:pPr>
      <w:r w:rsidRPr="00570005">
        <w:rPr>
          <w:rFonts w:ascii="Arial Narrow" w:hAnsi="Arial Narrow"/>
          <w:i/>
          <w:iCs/>
          <w:sz w:val="18"/>
          <w:szCs w:val="18"/>
          <w:lang w:val="es-PE"/>
        </w:rPr>
        <w:t xml:space="preserve">Intervenciones del sector </w:t>
      </w:r>
      <w:r w:rsidR="00686967" w:rsidRPr="00570005">
        <w:rPr>
          <w:rFonts w:ascii="Arial Narrow" w:hAnsi="Arial Narrow"/>
          <w:i/>
          <w:iCs/>
          <w:sz w:val="18"/>
          <w:szCs w:val="18"/>
          <w:lang w:val="es-PE"/>
        </w:rPr>
        <w:t>Defensa</w:t>
      </w:r>
      <w:r w:rsidRPr="00570005">
        <w:rPr>
          <w:rFonts w:ascii="Arial Narrow" w:hAnsi="Arial Narrow"/>
          <w:i/>
          <w:iCs/>
          <w:sz w:val="18"/>
          <w:szCs w:val="18"/>
          <w:lang w:val="es-PE"/>
        </w:rPr>
        <w:t xml:space="preserve"> programadas en el PLIA 2025 – 2027.</w:t>
      </w:r>
    </w:p>
    <w:tbl>
      <w:tblPr>
        <w:tblStyle w:val="Tablaconcuadrcula"/>
        <w:tblW w:w="8500" w:type="dxa"/>
        <w:jc w:val="center"/>
        <w:tblLook w:val="04A0" w:firstRow="1" w:lastRow="0" w:firstColumn="1" w:lastColumn="0" w:noHBand="0" w:noVBand="1"/>
      </w:tblPr>
      <w:tblGrid>
        <w:gridCol w:w="1256"/>
        <w:gridCol w:w="2992"/>
        <w:gridCol w:w="1134"/>
        <w:gridCol w:w="992"/>
        <w:gridCol w:w="744"/>
        <w:gridCol w:w="1382"/>
      </w:tblGrid>
      <w:tr w:rsidR="00B76D11" w14:paraId="3EE95E1A" w14:textId="77777777" w:rsidTr="00243AF2">
        <w:trPr>
          <w:jc w:val="center"/>
        </w:trPr>
        <w:tc>
          <w:tcPr>
            <w:tcW w:w="1256" w:type="dxa"/>
            <w:shd w:val="clear" w:color="auto" w:fill="BFBFBF" w:themeFill="background1" w:themeFillShade="BF"/>
            <w:vAlign w:val="center"/>
          </w:tcPr>
          <w:p w14:paraId="561D904B" w14:textId="0DBBC86A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B76D11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Entidad responsable</w:t>
            </w:r>
          </w:p>
        </w:tc>
        <w:tc>
          <w:tcPr>
            <w:tcW w:w="2992" w:type="dxa"/>
            <w:shd w:val="clear" w:color="auto" w:fill="BFBFBF" w:themeFill="background1" w:themeFillShade="BF"/>
            <w:vAlign w:val="center"/>
          </w:tcPr>
          <w:p w14:paraId="47355F4B" w14:textId="446640DA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Intervención</w:t>
            </w:r>
          </w:p>
        </w:tc>
        <w:tc>
          <w:tcPr>
            <w:tcW w:w="1134" w:type="dxa"/>
            <w:shd w:val="clear" w:color="auto" w:fill="BFBFBF" w:themeFill="background1" w:themeFillShade="BF"/>
            <w:vAlign w:val="center"/>
          </w:tcPr>
          <w:p w14:paraId="6595961D" w14:textId="10433751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Alcance geográfico</w:t>
            </w:r>
          </w:p>
        </w:tc>
        <w:tc>
          <w:tcPr>
            <w:tcW w:w="992" w:type="dxa"/>
            <w:shd w:val="clear" w:color="auto" w:fill="BFBFBF" w:themeFill="background1" w:themeFillShade="BF"/>
            <w:vAlign w:val="center"/>
          </w:tcPr>
          <w:p w14:paraId="36ACB685" w14:textId="4C3C23B4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Unidad de medida</w:t>
            </w:r>
          </w:p>
        </w:tc>
        <w:tc>
          <w:tcPr>
            <w:tcW w:w="744" w:type="dxa"/>
            <w:shd w:val="clear" w:color="auto" w:fill="BFBFBF" w:themeFill="background1" w:themeFillShade="BF"/>
            <w:vAlign w:val="center"/>
          </w:tcPr>
          <w:p w14:paraId="1AE2D9F2" w14:textId="53D9AD79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Meta física</w:t>
            </w:r>
          </w:p>
        </w:tc>
        <w:tc>
          <w:tcPr>
            <w:tcW w:w="1382" w:type="dxa"/>
            <w:shd w:val="clear" w:color="auto" w:fill="BFBFBF" w:themeFill="background1" w:themeFillShade="BF"/>
            <w:vAlign w:val="center"/>
          </w:tcPr>
          <w:p w14:paraId="0BCFD349" w14:textId="4B68B60C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Meta financiera</w:t>
            </w:r>
          </w:p>
        </w:tc>
      </w:tr>
      <w:tr w:rsidR="00686967" w14:paraId="1C5544B8" w14:textId="77777777" w:rsidTr="00243AF2">
        <w:trPr>
          <w:trHeight w:val="901"/>
          <w:jc w:val="center"/>
        </w:trPr>
        <w:tc>
          <w:tcPr>
            <w:tcW w:w="1256" w:type="dxa"/>
            <w:vAlign w:val="center"/>
          </w:tcPr>
          <w:p w14:paraId="19CBE955" w14:textId="2B01B5C4" w:rsidR="00686967" w:rsidRPr="00686967" w:rsidRDefault="00686967" w:rsidP="00686967">
            <w:pPr>
              <w:contextualSpacing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CENEPRED</w:t>
            </w:r>
          </w:p>
        </w:tc>
        <w:tc>
          <w:tcPr>
            <w:tcW w:w="2992" w:type="dxa"/>
            <w:vAlign w:val="center"/>
          </w:tcPr>
          <w:p w14:paraId="3EC32C35" w14:textId="1CB3CBFD" w:rsidR="00686967" w:rsidRPr="00686967" w:rsidRDefault="00686967" w:rsidP="00686967">
            <w:pPr>
              <w:contextualSpacing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Elaboración de</w:t>
            </w:r>
            <w:r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l</w:t>
            </w: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escenario de riesgo por inundación en la provincia de Nazca, departamento de Ica</w:t>
            </w:r>
          </w:p>
        </w:tc>
        <w:tc>
          <w:tcPr>
            <w:tcW w:w="1134" w:type="dxa"/>
            <w:vAlign w:val="center"/>
          </w:tcPr>
          <w:p w14:paraId="6083CE49" w14:textId="34C48CD4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Provincia</w:t>
            </w:r>
          </w:p>
        </w:tc>
        <w:tc>
          <w:tcPr>
            <w:tcW w:w="992" w:type="dxa"/>
            <w:vAlign w:val="center"/>
          </w:tcPr>
          <w:p w14:paraId="3B8DA8FA" w14:textId="7E8B8C61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Estudio</w:t>
            </w:r>
          </w:p>
        </w:tc>
        <w:tc>
          <w:tcPr>
            <w:tcW w:w="744" w:type="dxa"/>
            <w:vAlign w:val="center"/>
          </w:tcPr>
          <w:p w14:paraId="44984C39" w14:textId="4A9552C8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382" w:type="dxa"/>
            <w:vAlign w:val="center"/>
          </w:tcPr>
          <w:p w14:paraId="21B0F289" w14:textId="24804DCA" w:rsidR="00686967" w:rsidRPr="00473493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473493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S/ 15,000.00</w:t>
            </w:r>
          </w:p>
        </w:tc>
      </w:tr>
      <w:tr w:rsidR="00686967" w14:paraId="3DE8CA2B" w14:textId="77777777" w:rsidTr="00243AF2">
        <w:trPr>
          <w:trHeight w:val="938"/>
          <w:jc w:val="center"/>
        </w:trPr>
        <w:tc>
          <w:tcPr>
            <w:tcW w:w="1256" w:type="dxa"/>
            <w:vAlign w:val="center"/>
          </w:tcPr>
          <w:p w14:paraId="0E39FD3F" w14:textId="7BA6F22C" w:rsidR="00686967" w:rsidRPr="00686967" w:rsidRDefault="00686967" w:rsidP="00686967">
            <w:pPr>
              <w:contextualSpacing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CENEPRED</w:t>
            </w:r>
          </w:p>
        </w:tc>
        <w:tc>
          <w:tcPr>
            <w:tcW w:w="2992" w:type="dxa"/>
            <w:vAlign w:val="center"/>
          </w:tcPr>
          <w:p w14:paraId="61B5086A" w14:textId="3A71782A" w:rsidR="00686967" w:rsidRPr="00686967" w:rsidRDefault="00686967" w:rsidP="00686967">
            <w:pPr>
              <w:contextualSpacing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Elaboración de</w:t>
            </w:r>
            <w:r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l</w:t>
            </w: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escenario de riesgo por inundación en la provincia de Lucanas, departamento de Ayacucho</w:t>
            </w:r>
          </w:p>
        </w:tc>
        <w:tc>
          <w:tcPr>
            <w:tcW w:w="1134" w:type="dxa"/>
            <w:vAlign w:val="center"/>
          </w:tcPr>
          <w:p w14:paraId="7910C2FD" w14:textId="17DB315A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Provincia</w:t>
            </w:r>
          </w:p>
        </w:tc>
        <w:tc>
          <w:tcPr>
            <w:tcW w:w="992" w:type="dxa"/>
            <w:vAlign w:val="center"/>
          </w:tcPr>
          <w:p w14:paraId="1315671D" w14:textId="5D95B213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Estudio</w:t>
            </w:r>
          </w:p>
        </w:tc>
        <w:tc>
          <w:tcPr>
            <w:tcW w:w="744" w:type="dxa"/>
            <w:vAlign w:val="center"/>
          </w:tcPr>
          <w:p w14:paraId="3721791C" w14:textId="52DD6090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382" w:type="dxa"/>
            <w:vAlign w:val="center"/>
          </w:tcPr>
          <w:p w14:paraId="1A2FFC25" w14:textId="6934F3A8" w:rsidR="00686967" w:rsidRPr="00473493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473493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S/ 15,000.00</w:t>
            </w:r>
          </w:p>
        </w:tc>
      </w:tr>
    </w:tbl>
    <w:p w14:paraId="2FF91420" w14:textId="764250B1" w:rsidR="0030361C" w:rsidRDefault="00884B76" w:rsidP="00832A57">
      <w:pPr>
        <w:contextualSpacing/>
        <w:jc w:val="both"/>
        <w:rPr>
          <w:rFonts w:ascii="Arial Narrow" w:hAnsi="Arial Narrow"/>
          <w:sz w:val="18"/>
          <w:szCs w:val="18"/>
          <w:lang w:val="es-PE"/>
        </w:rPr>
      </w:pPr>
      <w:r w:rsidRPr="009F338E">
        <w:rPr>
          <w:rFonts w:ascii="Arial Narrow" w:hAnsi="Arial Narrow"/>
          <w:sz w:val="18"/>
          <w:szCs w:val="18"/>
          <w:lang w:val="es-PE"/>
        </w:rPr>
        <w:t>SGRD-PCM</w:t>
      </w:r>
      <w:r w:rsidR="00201FE5" w:rsidRPr="009F338E">
        <w:rPr>
          <w:rFonts w:ascii="Arial Narrow" w:hAnsi="Arial Narrow"/>
          <w:sz w:val="18"/>
          <w:szCs w:val="18"/>
          <w:lang w:val="es-PE"/>
        </w:rPr>
        <w:t>. (2025). Plan Multisectorial ante Lluvias Intensas y Peligros Asociados</w:t>
      </w:r>
      <w:r w:rsidR="0023651E" w:rsidRPr="009F338E">
        <w:rPr>
          <w:rFonts w:ascii="Arial Narrow" w:hAnsi="Arial Narrow"/>
          <w:sz w:val="18"/>
          <w:szCs w:val="18"/>
          <w:lang w:val="es-PE"/>
        </w:rPr>
        <w:t xml:space="preserve"> 2025 – 2027.</w:t>
      </w:r>
      <w:r w:rsidR="00B44E93" w:rsidRPr="009F338E">
        <w:rPr>
          <w:rFonts w:ascii="Arial Narrow" w:hAnsi="Arial Narrow"/>
          <w:sz w:val="18"/>
          <w:szCs w:val="18"/>
          <w:lang w:val="es-PE"/>
        </w:rPr>
        <w:t xml:space="preserve"> pp. </w:t>
      </w:r>
      <w:r w:rsidR="00841C7F">
        <w:rPr>
          <w:rFonts w:ascii="Arial Narrow" w:hAnsi="Arial Narrow"/>
          <w:sz w:val="18"/>
          <w:szCs w:val="18"/>
          <w:lang w:val="es-PE"/>
        </w:rPr>
        <w:t>37</w:t>
      </w:r>
      <w:r w:rsidR="009F338E" w:rsidRPr="009F338E">
        <w:rPr>
          <w:rFonts w:ascii="Arial Narrow" w:hAnsi="Arial Narrow"/>
          <w:sz w:val="18"/>
          <w:szCs w:val="18"/>
          <w:lang w:val="es-PE"/>
        </w:rPr>
        <w:t>.</w:t>
      </w:r>
    </w:p>
    <w:bookmarkEnd w:id="0"/>
    <w:p w14:paraId="5FDE8DA2" w14:textId="0185E20D" w:rsidR="00757CF5" w:rsidRPr="009F338E" w:rsidRDefault="009F338E" w:rsidP="00832A57">
      <w:pPr>
        <w:contextualSpacing/>
        <w:jc w:val="both"/>
        <w:rPr>
          <w:rFonts w:ascii="Arial Narrow" w:hAnsi="Arial Narrow"/>
          <w:sz w:val="18"/>
          <w:szCs w:val="18"/>
          <w:lang w:val="es-PE"/>
        </w:rPr>
      </w:pPr>
      <w:r w:rsidRPr="009F338E">
        <w:rPr>
          <w:rFonts w:ascii="Arial Narrow" w:hAnsi="Arial Narrow"/>
          <w:sz w:val="18"/>
          <w:szCs w:val="18"/>
          <w:lang w:val="es-PE"/>
        </w:rPr>
        <w:fldChar w:fldCharType="begin"/>
      </w:r>
      <w:r w:rsidRPr="009F338E">
        <w:rPr>
          <w:rFonts w:ascii="Arial Narrow" w:hAnsi="Arial Narrow"/>
          <w:sz w:val="18"/>
          <w:szCs w:val="18"/>
          <w:lang w:val="es-PE"/>
        </w:rPr>
        <w:instrText xml:space="preserve"> HYPERLINK "https://cdn.www.gob.pe/uploads/document/file/7472035/6360542-plan-multisectorial-ante-lluvias-intensas-y-peligros-asociados-2025-2027%282%29.pdf?v=1736523577" </w:instrText>
      </w:r>
      <w:r w:rsidRPr="009F338E">
        <w:rPr>
          <w:rFonts w:ascii="Arial Narrow" w:hAnsi="Arial Narrow"/>
          <w:sz w:val="18"/>
          <w:szCs w:val="18"/>
          <w:lang w:val="es-PE"/>
        </w:rPr>
      </w:r>
      <w:r w:rsidRPr="009F338E">
        <w:rPr>
          <w:rFonts w:ascii="Arial Narrow" w:hAnsi="Arial Narrow"/>
          <w:sz w:val="18"/>
          <w:szCs w:val="18"/>
          <w:lang w:val="es-PE"/>
        </w:rPr>
        <w:fldChar w:fldCharType="separate"/>
      </w:r>
      <w:r w:rsidRPr="009F338E">
        <w:rPr>
          <w:rStyle w:val="Hipervnculo"/>
          <w:rFonts w:ascii="Arial Narrow" w:hAnsi="Arial Narrow"/>
          <w:sz w:val="18"/>
          <w:szCs w:val="18"/>
          <w:lang w:val="es-PE"/>
        </w:rPr>
        <w:t>https://cdn.www.gob.pe/uploads/document/file/7472035/6360542-plan-multisectorial-ante-lluvias-intensas-y-peligros-asociados-2025-2027%282%29.pdf?v=1736523577</w:t>
      </w:r>
      <w:r w:rsidRPr="009F338E">
        <w:rPr>
          <w:rFonts w:ascii="Arial Narrow" w:hAnsi="Arial Narrow"/>
          <w:sz w:val="18"/>
          <w:szCs w:val="18"/>
          <w:lang w:val="es-PE"/>
        </w:rPr>
        <w:fldChar w:fldCharType="end"/>
      </w:r>
    </w:p>
    <w:p w14:paraId="03471D9C" w14:textId="77777777" w:rsidR="009F338E" w:rsidRDefault="009F338E" w:rsidP="00AC30A6">
      <w:pPr>
        <w:ind w:left="360"/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404D7305" w14:textId="77777777" w:rsidR="00243AF2" w:rsidRDefault="00243AF2" w:rsidP="00AC30A6">
      <w:pPr>
        <w:ind w:left="360"/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0F6CC212" w14:textId="1AB2CBCC" w:rsidR="006F2887" w:rsidRPr="0025134E" w:rsidRDefault="00A042DE" w:rsidP="005064D3">
      <w:pPr>
        <w:numPr>
          <w:ilvl w:val="0"/>
          <w:numId w:val="18"/>
        </w:numPr>
        <w:contextualSpacing/>
        <w:jc w:val="both"/>
        <w:rPr>
          <w:rFonts w:ascii="Arial Narrow" w:eastAsia="Times New Roman" w:hAnsi="Arial Narrow" w:cs="Arial"/>
          <w:b/>
          <w:bCs/>
          <w:sz w:val="21"/>
          <w:szCs w:val="21"/>
          <w:lang w:val="es-PE" w:eastAsia="en-US"/>
        </w:rPr>
      </w:pPr>
      <w:r w:rsidRPr="0025134E">
        <w:rPr>
          <w:rFonts w:ascii="Arial Narrow" w:eastAsia="Times New Roman" w:hAnsi="Arial Narrow" w:cs="Arial"/>
          <w:b/>
          <w:bCs/>
          <w:sz w:val="21"/>
          <w:szCs w:val="21"/>
          <w:lang w:val="es-PE" w:eastAsia="en-US"/>
        </w:rPr>
        <w:t>ANTECEDENTES</w:t>
      </w:r>
    </w:p>
    <w:p w14:paraId="5DDAF176" w14:textId="77777777" w:rsidR="006F2887" w:rsidRPr="006F2887" w:rsidRDefault="006F2887" w:rsidP="006F2887">
      <w:pPr>
        <w:numPr>
          <w:ilvl w:val="0"/>
          <w:numId w:val="13"/>
        </w:numPr>
        <w:contextualSpacing/>
        <w:jc w:val="both"/>
        <w:rPr>
          <w:rFonts w:ascii="Arial Narrow" w:eastAsia="Times New Roman" w:hAnsi="Arial Narrow" w:cs="Arial"/>
          <w:iCs/>
          <w:vanish/>
          <w:sz w:val="21"/>
          <w:szCs w:val="21"/>
          <w:lang w:val="es-PE"/>
        </w:rPr>
      </w:pPr>
    </w:p>
    <w:p w14:paraId="336E1F60" w14:textId="77777777" w:rsidR="006F2887" w:rsidRPr="006F2887" w:rsidRDefault="006F2887" w:rsidP="006F2887">
      <w:pPr>
        <w:numPr>
          <w:ilvl w:val="0"/>
          <w:numId w:val="13"/>
        </w:numPr>
        <w:contextualSpacing/>
        <w:jc w:val="both"/>
        <w:rPr>
          <w:rFonts w:ascii="Arial Narrow" w:eastAsia="Times New Roman" w:hAnsi="Arial Narrow" w:cs="Arial"/>
          <w:iCs/>
          <w:vanish/>
          <w:sz w:val="21"/>
          <w:szCs w:val="21"/>
          <w:lang w:val="es-PE"/>
        </w:rPr>
      </w:pPr>
    </w:p>
    <w:p w14:paraId="5B7BB075" w14:textId="77777777" w:rsidR="006F2887" w:rsidRDefault="006F2887" w:rsidP="006F2887">
      <w:pPr>
        <w:autoSpaceDE w:val="0"/>
        <w:autoSpaceDN w:val="0"/>
        <w:adjustRightInd w:val="0"/>
        <w:ind w:left="851"/>
        <w:jc w:val="both"/>
        <w:rPr>
          <w:rFonts w:ascii="Arial Narrow" w:hAnsi="Arial Narrow" w:cs="Arial"/>
          <w:color w:val="000000"/>
          <w:sz w:val="21"/>
          <w:szCs w:val="21"/>
          <w:lang w:val="es-PE"/>
        </w:rPr>
      </w:pPr>
    </w:p>
    <w:p w14:paraId="1BF295AA" w14:textId="77777777" w:rsidR="00E956E9" w:rsidRDefault="00E956E9" w:rsidP="00E956E9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Según </w:t>
      </w:r>
      <w:r w:rsidRPr="00457FFD">
        <w:rPr>
          <w:rFonts w:ascii="Arial Narrow" w:hAnsi="Arial Narrow"/>
          <w:sz w:val="21"/>
          <w:szCs w:val="21"/>
          <w:lang w:val="es-PE"/>
        </w:rPr>
        <w:t>los escenarios de riesgo por inundación y movimientos</w:t>
      </w:r>
      <w:r>
        <w:rPr>
          <w:rFonts w:ascii="Arial Narrow" w:hAnsi="Arial Narrow"/>
          <w:sz w:val="21"/>
          <w:szCs w:val="21"/>
          <w:lang w:val="es-PE"/>
        </w:rPr>
        <w:t xml:space="preserve"> en masa elaborados </w:t>
      </w:r>
      <w:r w:rsidRPr="00457FFD">
        <w:rPr>
          <w:rFonts w:ascii="Arial Narrow" w:hAnsi="Arial Narrow"/>
          <w:sz w:val="21"/>
          <w:szCs w:val="21"/>
          <w:lang w:val="es-PE"/>
        </w:rPr>
        <w:t>en el marco del Plan Multisectorial 2025-2027</w:t>
      </w:r>
      <w:r>
        <w:rPr>
          <w:rFonts w:ascii="Arial Narrow" w:hAnsi="Arial Narrow"/>
          <w:sz w:val="21"/>
          <w:szCs w:val="21"/>
          <w:lang w:val="es-PE"/>
        </w:rPr>
        <w:t>, elaborados por el CENEPRED, la provincia de Nazca (Ica) presenta seis distritos con nivel de riesgo alto al peligro de inundación; mientras que, la provincia de Lucanas (Ayacucho) presenta cinco distritos con niveles de riesgo por inundaciones entre muy alto (01) y alto (04), tal como se detalla a continuación:</w:t>
      </w:r>
    </w:p>
    <w:p w14:paraId="446466A9" w14:textId="77777777" w:rsidR="00E956E9" w:rsidRDefault="00E956E9" w:rsidP="00E956E9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5AC33B4F" w14:textId="69F5D2EC" w:rsidR="00E956E9" w:rsidRPr="0042090C" w:rsidRDefault="00E956E9" w:rsidP="00CC057C">
      <w:pPr>
        <w:pStyle w:val="Descripcin"/>
        <w:keepNext/>
        <w:spacing w:after="0"/>
        <w:jc w:val="both"/>
        <w:rPr>
          <w:rFonts w:ascii="Arial Narrow" w:hAnsi="Arial Narrow"/>
          <w:color w:val="auto"/>
        </w:rPr>
      </w:pPr>
      <w:r w:rsidRPr="0042090C">
        <w:rPr>
          <w:rFonts w:ascii="Arial Narrow" w:hAnsi="Arial Narrow"/>
          <w:color w:val="auto"/>
        </w:rPr>
        <w:t xml:space="preserve">Tabla </w:t>
      </w:r>
      <w:r w:rsidRPr="0042090C">
        <w:rPr>
          <w:rFonts w:ascii="Arial Narrow" w:hAnsi="Arial Narrow"/>
          <w:color w:val="auto"/>
        </w:rPr>
        <w:fldChar w:fldCharType="begin"/>
      </w:r>
      <w:r w:rsidRPr="0042090C">
        <w:rPr>
          <w:rFonts w:ascii="Arial Narrow" w:hAnsi="Arial Narrow"/>
          <w:color w:val="auto"/>
        </w:rPr>
        <w:instrText xml:space="preserve"> SEQ Tabla \* ARABIC </w:instrText>
      </w:r>
      <w:r w:rsidRPr="0042090C">
        <w:rPr>
          <w:rFonts w:ascii="Arial Narrow" w:hAnsi="Arial Narrow"/>
          <w:color w:val="auto"/>
        </w:rPr>
        <w:fldChar w:fldCharType="separate"/>
      </w:r>
      <w:r w:rsidR="00C52165">
        <w:rPr>
          <w:rFonts w:ascii="Arial Narrow" w:hAnsi="Arial Narrow"/>
          <w:noProof/>
          <w:color w:val="auto"/>
        </w:rPr>
        <w:t>1</w:t>
      </w:r>
      <w:r w:rsidRPr="0042090C">
        <w:rPr>
          <w:rFonts w:ascii="Arial Narrow" w:hAnsi="Arial Narrow"/>
          <w:color w:val="auto"/>
        </w:rPr>
        <w:fldChar w:fldCharType="end"/>
      </w:r>
      <w:r w:rsidRPr="0042090C">
        <w:rPr>
          <w:rFonts w:ascii="Arial Narrow" w:hAnsi="Arial Narrow"/>
          <w:color w:val="auto"/>
        </w:rPr>
        <w:t>. Nivel de riesgo de distritos de las provincias de Nazca y Lucanas.</w:t>
      </w:r>
    </w:p>
    <w:p w14:paraId="0EC71E58" w14:textId="44C02D4B" w:rsidR="00E956E9" w:rsidRDefault="00CC057C" w:rsidP="00CC057C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CC057C">
        <w:rPr>
          <w:noProof/>
        </w:rPr>
        <w:drawing>
          <wp:inline distT="0" distB="0" distL="0" distR="0" wp14:anchorId="755118EC" wp14:editId="2D2B138B">
            <wp:extent cx="3407496" cy="1781092"/>
            <wp:effectExtent l="0" t="0" r="254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220" cy="178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3C4E1" w14:textId="77777777" w:rsidR="00E956E9" w:rsidRPr="00D15C73" w:rsidRDefault="00E956E9" w:rsidP="00E956E9">
      <w:pPr>
        <w:spacing w:after="120"/>
        <w:contextualSpacing/>
        <w:jc w:val="both"/>
        <w:rPr>
          <w:rFonts w:ascii="Arial Narrow" w:hAnsi="Arial Narrow"/>
          <w:sz w:val="18"/>
          <w:szCs w:val="18"/>
        </w:rPr>
      </w:pPr>
      <w:r w:rsidRPr="00D15C73">
        <w:rPr>
          <w:rFonts w:ascii="Arial Narrow" w:hAnsi="Arial Narrow"/>
          <w:sz w:val="18"/>
          <w:szCs w:val="18"/>
        </w:rPr>
        <w:t>Fuente: CENEPRED 2025</w:t>
      </w:r>
    </w:p>
    <w:p w14:paraId="480493FA" w14:textId="77777777" w:rsidR="00E956E9" w:rsidRDefault="00E956E9" w:rsidP="00E956E9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151C422C" w14:textId="30B460DF" w:rsidR="006F2887" w:rsidRPr="0025134E" w:rsidRDefault="00A042DE" w:rsidP="006F2887">
      <w:pPr>
        <w:numPr>
          <w:ilvl w:val="0"/>
          <w:numId w:val="13"/>
        </w:numPr>
        <w:ind w:left="284" w:hanging="284"/>
        <w:contextualSpacing/>
        <w:jc w:val="both"/>
        <w:rPr>
          <w:rFonts w:ascii="Arial Narrow" w:hAnsi="Arial Narrow"/>
          <w:b/>
          <w:sz w:val="21"/>
          <w:szCs w:val="21"/>
          <w:lang w:val="es-PE"/>
        </w:rPr>
      </w:pPr>
      <w:r w:rsidRPr="0025134E">
        <w:rPr>
          <w:rFonts w:ascii="Arial Narrow" w:hAnsi="Arial Narrow"/>
          <w:b/>
          <w:sz w:val="21"/>
          <w:szCs w:val="21"/>
          <w:lang w:val="es-PE"/>
        </w:rPr>
        <w:t>ANÁLISIS</w:t>
      </w:r>
    </w:p>
    <w:p w14:paraId="78234AC7" w14:textId="77777777" w:rsidR="006F2887" w:rsidRDefault="006F2887" w:rsidP="00570005">
      <w:pPr>
        <w:rPr>
          <w:rFonts w:ascii="Arial Narrow" w:eastAsia="Calibri" w:hAnsi="Arial Narrow" w:cs="Times New Roman"/>
          <w:sz w:val="21"/>
          <w:szCs w:val="21"/>
          <w:lang w:val="es-PE" w:eastAsia="en-US"/>
        </w:rPr>
      </w:pPr>
    </w:p>
    <w:p w14:paraId="1CDFD149" w14:textId="77777777" w:rsidR="00CC057C" w:rsidRDefault="0030361C" w:rsidP="007E2352">
      <w:pPr>
        <w:jc w:val="both"/>
        <w:rPr>
          <w:rFonts w:ascii="Arial Narrow" w:eastAsia="Calibri" w:hAnsi="Arial Narrow" w:cs="Times New Roman"/>
          <w:sz w:val="21"/>
          <w:szCs w:val="21"/>
          <w:lang w:val="es-PE" w:eastAsia="en-US"/>
        </w:rPr>
      </w:pPr>
      <w:r w:rsidRPr="0030361C">
        <w:rPr>
          <w:rFonts w:ascii="Arial Narrow" w:eastAsia="Calibri" w:hAnsi="Arial Narrow" w:cs="Times New Roman"/>
          <w:sz w:val="21"/>
          <w:szCs w:val="21"/>
          <w:lang w:val="es-PE" w:eastAsia="en-US"/>
        </w:rPr>
        <w:t>El Cenepred, a través de la Subdirección de Gestión de la Información</w:t>
      </w:r>
      <w:r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 de la Dirección de Gestión de Procesos, </w:t>
      </w:r>
      <w:r w:rsidRPr="0030361C"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tiene como función realizar estudios e investigaciones relacionados con la gestión prospectiva y correctiva, a fin de brindar a las entidades que conforman el SINAGERD y al público en general, acceso a la información especializada sobre los ámbitos con mayor exposición al riesgo </w:t>
      </w:r>
      <w:r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en el ámbito nacional. </w:t>
      </w:r>
    </w:p>
    <w:p w14:paraId="53D8B8F2" w14:textId="7BA95CFA" w:rsidR="00570005" w:rsidRDefault="0030361C" w:rsidP="007E2352">
      <w:pPr>
        <w:jc w:val="both"/>
        <w:rPr>
          <w:rFonts w:ascii="Arial Narrow" w:eastAsia="Calibri" w:hAnsi="Arial Narrow" w:cs="Times New Roman"/>
          <w:sz w:val="21"/>
          <w:szCs w:val="21"/>
          <w:lang w:val="es-PE" w:eastAsia="en-US"/>
        </w:rPr>
      </w:pPr>
      <w:r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En ese sentido, </w:t>
      </w:r>
      <w:r w:rsidR="00CC057C"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se ha programado </w:t>
      </w:r>
      <w:r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la elaboración de dos escenarios de riesgos por inundación </w:t>
      </w:r>
      <w:r w:rsidR="007E2352"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durante el año 2025, </w:t>
      </w:r>
      <w:r w:rsidR="00CC057C">
        <w:rPr>
          <w:rFonts w:ascii="Arial Narrow" w:eastAsia="Calibri" w:hAnsi="Arial Narrow" w:cs="Times New Roman"/>
          <w:sz w:val="21"/>
          <w:szCs w:val="21"/>
          <w:lang w:val="es-PE" w:eastAsia="en-US"/>
        </w:rPr>
        <w:t>de acuerdo a</w:t>
      </w:r>
      <w:r w:rsidR="007E2352"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 lo programado </w:t>
      </w:r>
      <w:r w:rsidR="00570005">
        <w:rPr>
          <w:rFonts w:ascii="Arial Narrow" w:eastAsia="Calibri" w:hAnsi="Arial Narrow" w:cs="Times New Roman"/>
          <w:sz w:val="21"/>
          <w:szCs w:val="21"/>
          <w:lang w:val="es-PE" w:eastAsia="en-US"/>
        </w:rPr>
        <w:t>en el PLIA 2025-2027</w:t>
      </w:r>
      <w:r w:rsidR="007E2352">
        <w:rPr>
          <w:rFonts w:ascii="Arial Narrow" w:eastAsia="Calibri" w:hAnsi="Arial Narrow" w:cs="Times New Roman"/>
          <w:sz w:val="21"/>
          <w:szCs w:val="21"/>
          <w:lang w:val="es-PE" w:eastAsia="en-US"/>
        </w:rPr>
        <w:t>.</w:t>
      </w:r>
    </w:p>
    <w:p w14:paraId="7CF8A85A" w14:textId="414DC773" w:rsidR="006F2887" w:rsidRPr="00E20B8D" w:rsidRDefault="003A2A5D" w:rsidP="009B6232">
      <w:pPr>
        <w:numPr>
          <w:ilvl w:val="1"/>
          <w:numId w:val="13"/>
        </w:numPr>
        <w:ind w:left="426" w:hanging="426"/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E20B8D">
        <w:rPr>
          <w:rFonts w:ascii="Arial Narrow" w:eastAsia="Arial Narrow" w:hAnsi="Arial Narrow" w:cs="Arial"/>
          <w:b/>
          <w:bCs/>
          <w:color w:val="000000" w:themeColor="text1"/>
          <w:sz w:val="21"/>
          <w:szCs w:val="21"/>
          <w:lang w:val="es-PE"/>
        </w:rPr>
        <w:lastRenderedPageBreak/>
        <w:t xml:space="preserve">Cronograma de ejecución </w:t>
      </w:r>
      <w:r w:rsidR="001331FF" w:rsidRPr="00E20B8D">
        <w:rPr>
          <w:rFonts w:ascii="Arial Narrow" w:eastAsia="Arial Narrow" w:hAnsi="Arial Narrow" w:cs="Arial"/>
          <w:b/>
          <w:bCs/>
          <w:color w:val="000000" w:themeColor="text1"/>
          <w:sz w:val="21"/>
          <w:szCs w:val="21"/>
          <w:lang w:val="es-PE"/>
        </w:rPr>
        <w:t xml:space="preserve">física y financiera </w:t>
      </w:r>
      <w:r w:rsidRPr="00E20B8D">
        <w:rPr>
          <w:rFonts w:ascii="Arial Narrow" w:eastAsia="Arial Narrow" w:hAnsi="Arial Narrow" w:cs="Arial"/>
          <w:b/>
          <w:bCs/>
          <w:color w:val="000000" w:themeColor="text1"/>
          <w:sz w:val="21"/>
          <w:szCs w:val="21"/>
          <w:lang w:val="es-PE"/>
        </w:rPr>
        <w:t>de las intervenciones</w:t>
      </w:r>
    </w:p>
    <w:p w14:paraId="6A859202" w14:textId="4571F137" w:rsidR="00E956E9" w:rsidRPr="00846A0F" w:rsidRDefault="00CC057C" w:rsidP="00E956E9">
      <w:pPr>
        <w:contextualSpacing/>
        <w:jc w:val="both"/>
        <w:rPr>
          <w:rFonts w:ascii="Arial Narrow" w:hAnsi="Arial Narrow"/>
          <w:spacing w:val="-6"/>
          <w:sz w:val="21"/>
          <w:szCs w:val="21"/>
          <w:lang w:val="es-PE"/>
        </w:rPr>
      </w:pPr>
      <w:r w:rsidRPr="00846A0F">
        <w:rPr>
          <w:rFonts w:ascii="Arial Narrow" w:hAnsi="Arial Narrow"/>
          <w:spacing w:val="-6"/>
          <w:sz w:val="21"/>
          <w:szCs w:val="21"/>
          <w:lang w:val="es-PE"/>
        </w:rPr>
        <w:t>L</w:t>
      </w:r>
      <w:r w:rsidR="00E956E9"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a Tabla 2 </w:t>
      </w:r>
      <w:r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muestra </w:t>
      </w:r>
      <w:r w:rsidR="00570005"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el cronograma de ejecución física de las intervenciones </w:t>
      </w:r>
      <w:r w:rsidR="00E956E9"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a cargo del </w:t>
      </w:r>
      <w:r w:rsidR="00570005"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sector Defensa, a través del </w:t>
      </w:r>
      <w:r w:rsidR="00E956E9" w:rsidRPr="00846A0F">
        <w:rPr>
          <w:rFonts w:ascii="Arial Narrow" w:hAnsi="Arial Narrow"/>
          <w:spacing w:val="-6"/>
          <w:sz w:val="21"/>
          <w:szCs w:val="21"/>
          <w:lang w:val="es-PE"/>
        </w:rPr>
        <w:t>Cenepred</w:t>
      </w:r>
      <w:r w:rsidR="00570005" w:rsidRPr="00846A0F">
        <w:rPr>
          <w:rFonts w:ascii="Arial Narrow" w:hAnsi="Arial Narrow"/>
          <w:spacing w:val="-6"/>
          <w:sz w:val="21"/>
          <w:szCs w:val="21"/>
          <w:lang w:val="es-PE"/>
        </w:rPr>
        <w:t>.</w:t>
      </w:r>
    </w:p>
    <w:p w14:paraId="437CBC81" w14:textId="77777777" w:rsidR="0030361C" w:rsidRPr="00846A0F" w:rsidRDefault="0030361C" w:rsidP="00E956E9">
      <w:pPr>
        <w:contextualSpacing/>
        <w:jc w:val="both"/>
        <w:rPr>
          <w:rFonts w:ascii="Arial Narrow" w:hAnsi="Arial Narrow"/>
          <w:sz w:val="20"/>
          <w:szCs w:val="20"/>
          <w:lang w:val="es-PE"/>
        </w:rPr>
      </w:pPr>
    </w:p>
    <w:p w14:paraId="43CC7256" w14:textId="69DE6DBB" w:rsidR="00CA2731" w:rsidRPr="005A146E" w:rsidRDefault="00CA2731" w:rsidP="00832A57">
      <w:pPr>
        <w:contextualSpacing/>
        <w:jc w:val="both"/>
        <w:rPr>
          <w:rFonts w:ascii="Arial Narrow" w:hAnsi="Arial Narrow"/>
          <w:b/>
          <w:bCs/>
          <w:sz w:val="18"/>
          <w:szCs w:val="18"/>
          <w:lang w:val="es-PE"/>
        </w:rPr>
      </w:pPr>
      <w:r w:rsidRPr="005A146E">
        <w:rPr>
          <w:rFonts w:ascii="Arial Narrow" w:hAnsi="Arial Narrow"/>
          <w:b/>
          <w:bCs/>
          <w:sz w:val="18"/>
          <w:szCs w:val="18"/>
          <w:lang w:val="es-PE"/>
        </w:rPr>
        <w:t xml:space="preserve">Tabla </w:t>
      </w:r>
      <w:r>
        <w:rPr>
          <w:rFonts w:ascii="Arial Narrow" w:hAnsi="Arial Narrow"/>
          <w:b/>
          <w:bCs/>
          <w:sz w:val="18"/>
          <w:szCs w:val="18"/>
          <w:lang w:val="es-PE"/>
        </w:rPr>
        <w:t>2</w:t>
      </w:r>
    </w:p>
    <w:p w14:paraId="6F6B9288" w14:textId="1F1BC3DD" w:rsidR="00AB108A" w:rsidRDefault="00CA2731" w:rsidP="00832A57">
      <w:pPr>
        <w:contextualSpacing/>
        <w:jc w:val="both"/>
        <w:rPr>
          <w:rFonts w:ascii="Arial Narrow" w:hAnsi="Arial Narrow"/>
          <w:i/>
          <w:iCs/>
          <w:sz w:val="18"/>
          <w:szCs w:val="18"/>
          <w:lang w:val="es-PE"/>
        </w:rPr>
      </w:pPr>
      <w:r w:rsidRPr="00243AF2">
        <w:rPr>
          <w:rFonts w:ascii="Arial Narrow" w:hAnsi="Arial Narrow"/>
          <w:i/>
          <w:iCs/>
          <w:sz w:val="18"/>
          <w:szCs w:val="18"/>
          <w:lang w:val="es-PE"/>
        </w:rPr>
        <w:t>Cronograma de actividades</w:t>
      </w:r>
      <w:r w:rsidR="00A21DC4">
        <w:rPr>
          <w:rFonts w:ascii="Arial Narrow" w:hAnsi="Arial Narrow"/>
          <w:i/>
          <w:iCs/>
          <w:sz w:val="18"/>
          <w:szCs w:val="18"/>
          <w:lang w:val="es-PE"/>
        </w:rPr>
        <w:t xml:space="preserve"> físicas</w:t>
      </w:r>
      <w:r w:rsidRPr="00243AF2">
        <w:rPr>
          <w:rFonts w:ascii="Arial Narrow" w:hAnsi="Arial Narrow"/>
          <w:i/>
          <w:iCs/>
          <w:sz w:val="18"/>
          <w:szCs w:val="18"/>
          <w:lang w:val="es-PE"/>
        </w:rPr>
        <w:t xml:space="preserve"> </w:t>
      </w:r>
      <w:r w:rsidR="00041A91" w:rsidRPr="00243AF2">
        <w:rPr>
          <w:rFonts w:ascii="Arial Narrow" w:hAnsi="Arial Narrow"/>
          <w:i/>
          <w:iCs/>
          <w:sz w:val="18"/>
          <w:szCs w:val="18"/>
          <w:lang w:val="es-PE"/>
        </w:rPr>
        <w:t>del</w:t>
      </w:r>
      <w:r w:rsidRPr="00243AF2">
        <w:rPr>
          <w:rFonts w:ascii="Arial Narrow" w:hAnsi="Arial Narrow"/>
          <w:i/>
          <w:iCs/>
          <w:sz w:val="18"/>
          <w:szCs w:val="18"/>
          <w:lang w:val="es-PE"/>
        </w:rPr>
        <w:t xml:space="preserve"> sector </w:t>
      </w:r>
      <w:r w:rsidR="00BE3444" w:rsidRPr="00243AF2">
        <w:rPr>
          <w:rFonts w:ascii="Arial Narrow" w:hAnsi="Arial Narrow"/>
          <w:i/>
          <w:iCs/>
          <w:sz w:val="18"/>
          <w:szCs w:val="18"/>
          <w:lang w:val="es-PE"/>
        </w:rPr>
        <w:t>Defensa</w:t>
      </w:r>
      <w:r w:rsidRPr="00243AF2">
        <w:rPr>
          <w:rFonts w:ascii="Arial Narrow" w:hAnsi="Arial Narrow"/>
          <w:i/>
          <w:iCs/>
          <w:sz w:val="18"/>
          <w:szCs w:val="18"/>
          <w:lang w:val="es-PE"/>
        </w:rPr>
        <w:t xml:space="preserve"> programadas </w:t>
      </w:r>
      <w:r w:rsidR="00041A91" w:rsidRPr="00243AF2">
        <w:rPr>
          <w:rFonts w:ascii="Arial Narrow" w:hAnsi="Arial Narrow"/>
          <w:i/>
          <w:iCs/>
          <w:sz w:val="18"/>
          <w:szCs w:val="18"/>
          <w:lang w:val="es-PE"/>
        </w:rPr>
        <w:t>para</w:t>
      </w:r>
      <w:r w:rsidRPr="00243AF2">
        <w:rPr>
          <w:rFonts w:ascii="Arial Narrow" w:hAnsi="Arial Narrow"/>
          <w:i/>
          <w:iCs/>
          <w:sz w:val="18"/>
          <w:szCs w:val="18"/>
          <w:lang w:val="es-PE"/>
        </w:rPr>
        <w:t xml:space="preserve"> el PLIA 2025 – 2027.</w:t>
      </w:r>
    </w:p>
    <w:tbl>
      <w:tblPr>
        <w:tblW w:w="892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7"/>
        <w:gridCol w:w="3715"/>
        <w:gridCol w:w="896"/>
        <w:gridCol w:w="993"/>
        <w:gridCol w:w="567"/>
        <w:gridCol w:w="567"/>
        <w:gridCol w:w="567"/>
        <w:gridCol w:w="567"/>
        <w:gridCol w:w="567"/>
      </w:tblGrid>
      <w:tr w:rsidR="00686967" w:rsidRPr="00AB108A" w14:paraId="45A11515" w14:textId="77777777" w:rsidTr="00846A0F">
        <w:trPr>
          <w:trHeight w:val="288"/>
        </w:trPr>
        <w:tc>
          <w:tcPr>
            <w:tcW w:w="4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CE16DEF" w14:textId="77777777" w:rsidR="00AB108A" w:rsidRPr="006B39EF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Ítem</w:t>
            </w:r>
          </w:p>
        </w:tc>
        <w:tc>
          <w:tcPr>
            <w:tcW w:w="37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3F432D7C" w14:textId="0D9F5D87" w:rsidR="00AB108A" w:rsidRPr="006B39EF" w:rsidRDefault="005F7CFD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Descripción de la intervención del plan</w:t>
            </w:r>
          </w:p>
        </w:tc>
        <w:tc>
          <w:tcPr>
            <w:tcW w:w="8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F34C8B7" w14:textId="77777777" w:rsidR="00AB108A" w:rsidRPr="006B39EF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Alcance geográfico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7704BFB6" w14:textId="77777777" w:rsidR="00AB108A" w:rsidRPr="006B39EF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Unidad de medida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C3BA1E8" w14:textId="77777777" w:rsidR="00AB108A" w:rsidRPr="006B39EF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Meta física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66BEED43" w14:textId="77777777" w:rsidR="00AB108A" w:rsidRPr="006B39EF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MES</w:t>
            </w:r>
          </w:p>
        </w:tc>
      </w:tr>
      <w:tr w:rsidR="00CC057C" w:rsidRPr="00AB108A" w14:paraId="4A49B5AA" w14:textId="77777777" w:rsidTr="00846A0F">
        <w:trPr>
          <w:trHeight w:val="288"/>
        </w:trPr>
        <w:tc>
          <w:tcPr>
            <w:tcW w:w="4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B29621" w14:textId="77777777" w:rsidR="00CC057C" w:rsidRPr="006B39EF" w:rsidRDefault="00CC057C" w:rsidP="00CC057C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37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363F1E" w14:textId="77777777" w:rsidR="00CC057C" w:rsidRPr="006B39EF" w:rsidRDefault="00CC057C" w:rsidP="00CC057C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8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200E2E" w14:textId="77777777" w:rsidR="00CC057C" w:rsidRPr="006B39EF" w:rsidRDefault="00CC057C" w:rsidP="00CC057C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CCE1F7" w14:textId="77777777" w:rsidR="00CC057C" w:rsidRPr="006B39EF" w:rsidRDefault="00CC057C" w:rsidP="00CC057C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57FC0" w14:textId="77777777" w:rsidR="00CC057C" w:rsidRPr="006B39EF" w:rsidRDefault="00CC057C" w:rsidP="00CC057C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56029302" w14:textId="482258AD" w:rsidR="00CC057C" w:rsidRPr="006B39EF" w:rsidRDefault="00CC057C" w:rsidP="00CC057C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ABR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3BCE9EA6" w14:textId="5FE393DB" w:rsidR="00CC057C" w:rsidRPr="006B39EF" w:rsidRDefault="00CC057C" w:rsidP="00CC057C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MAY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0A927DE" w14:textId="414F8AEB" w:rsidR="00CC057C" w:rsidRPr="006B39EF" w:rsidRDefault="00CC057C" w:rsidP="00CC057C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JUN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746B0FCA" w14:textId="143B523B" w:rsidR="00CC057C" w:rsidRPr="006B39EF" w:rsidRDefault="00CC057C" w:rsidP="00CC057C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JUL</w:t>
            </w:r>
          </w:p>
        </w:tc>
      </w:tr>
      <w:tr w:rsidR="00686967" w:rsidRPr="00AB108A" w14:paraId="36A1947D" w14:textId="77777777" w:rsidTr="001D5FA9">
        <w:trPr>
          <w:trHeight w:val="521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B14C0" w14:textId="7ECAC715" w:rsidR="00BE3444" w:rsidRPr="006B39EF" w:rsidRDefault="00686967" w:rsidP="00C06A4C">
            <w:pPr>
              <w:jc w:val="center"/>
              <w:rPr>
                <w:rFonts w:ascii="Arial Narrow" w:eastAsia="Times New Roman" w:hAnsi="Arial Narrow" w:cstheme="majorHAnsi"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theme="majorHAnsi"/>
                <w:color w:val="000000"/>
                <w:sz w:val="18"/>
                <w:szCs w:val="18"/>
                <w:lang w:val="es-PE" w:eastAsia="es-PE"/>
              </w:rPr>
              <w:t>1</w:t>
            </w:r>
          </w:p>
        </w:tc>
        <w:tc>
          <w:tcPr>
            <w:tcW w:w="3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7C2FE" w14:textId="308316BA" w:rsidR="00BE3444" w:rsidRPr="006B39EF" w:rsidRDefault="00BE3444" w:rsidP="00BE3444">
            <w:pPr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Elaboración del escenario de riesgo por inundación en la provincia de Nazca, departamento de Ica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081C8" w14:textId="3C8E82C1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Provincia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FCB11" w14:textId="38024F22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Estudio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E3D37" w14:textId="44A8AA74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F5259" w14:textId="15A0004E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72BB3" w14:textId="42CE6BEA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4462C" w14:textId="24188B46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4DF25" w14:textId="43CD3940" w:rsidR="00BE3444" w:rsidRPr="006B39EF" w:rsidRDefault="00CC057C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>
              <w:rPr>
                <w:rFonts w:ascii="Arial Narrow" w:hAnsi="Arial Narrow" w:cstheme="majorHAnsi"/>
                <w:sz w:val="18"/>
                <w:szCs w:val="18"/>
                <w:lang w:val="es-PE"/>
              </w:rPr>
              <w:t>1</w:t>
            </w:r>
          </w:p>
        </w:tc>
      </w:tr>
      <w:tr w:rsidR="00686967" w:rsidRPr="00AB108A" w14:paraId="59C65677" w14:textId="77777777" w:rsidTr="001D5FA9">
        <w:trPr>
          <w:trHeight w:val="571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1AD69" w14:textId="444464C5" w:rsidR="00BE3444" w:rsidRPr="006B39EF" w:rsidRDefault="00686967" w:rsidP="00C06A4C">
            <w:pPr>
              <w:jc w:val="center"/>
              <w:rPr>
                <w:rFonts w:ascii="Arial Narrow" w:eastAsia="Times New Roman" w:hAnsi="Arial Narrow" w:cstheme="majorHAnsi"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theme="majorHAnsi"/>
                <w:color w:val="000000"/>
                <w:sz w:val="18"/>
                <w:szCs w:val="18"/>
                <w:lang w:val="es-PE" w:eastAsia="es-PE"/>
              </w:rPr>
              <w:t>2</w:t>
            </w:r>
          </w:p>
          <w:p w14:paraId="6FCA5799" w14:textId="3D535A2F" w:rsidR="00686967" w:rsidRPr="006B39EF" w:rsidRDefault="00686967" w:rsidP="00C06A4C">
            <w:pPr>
              <w:jc w:val="center"/>
              <w:rPr>
                <w:rFonts w:ascii="Arial Narrow" w:eastAsia="Times New Roman" w:hAnsi="Arial Narrow" w:cstheme="majorHAnsi"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3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F80C4" w14:textId="4854B71D" w:rsidR="00BE3444" w:rsidRPr="006B39EF" w:rsidRDefault="00BE3444" w:rsidP="00BE3444">
            <w:pPr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Elaboración del escenario de riesgo por inundación en la provincia de Lucanas, departamento de Ayacucho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BC687" w14:textId="6D883927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Provincia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C1563" w14:textId="38326B49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Estudio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D69D5" w14:textId="397CBA0E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1D551" w14:textId="00FA847B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13C19" w14:textId="040EB89E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B6359" w14:textId="5C2E0EDC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F2620" w14:textId="331A1A67" w:rsidR="00BE3444" w:rsidRPr="006B39EF" w:rsidRDefault="00CC057C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>
              <w:rPr>
                <w:rFonts w:ascii="Arial Narrow" w:hAnsi="Arial Narrow" w:cstheme="majorHAnsi"/>
                <w:sz w:val="18"/>
                <w:szCs w:val="18"/>
                <w:lang w:val="es-PE"/>
              </w:rPr>
              <w:t>1</w:t>
            </w:r>
          </w:p>
        </w:tc>
      </w:tr>
      <w:tr w:rsidR="00AB108A" w:rsidRPr="00AB108A" w14:paraId="04E6C3C1" w14:textId="77777777" w:rsidTr="001D5FA9">
        <w:trPr>
          <w:trHeight w:val="367"/>
        </w:trPr>
        <w:tc>
          <w:tcPr>
            <w:tcW w:w="665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BFBFBF"/>
            <w:noWrap/>
            <w:vAlign w:val="center"/>
            <w:hideMark/>
          </w:tcPr>
          <w:p w14:paraId="2C71C4CB" w14:textId="77777777" w:rsidR="00AB108A" w:rsidRPr="00202C53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es-PE" w:eastAsia="es-PE"/>
              </w:rPr>
            </w:pPr>
            <w:r w:rsidRPr="00202C53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es-PE" w:eastAsia="es-PE"/>
              </w:rPr>
              <w:t>TOTAL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BFBFBF"/>
            <w:noWrap/>
            <w:vAlign w:val="center"/>
            <w:hideMark/>
          </w:tcPr>
          <w:p w14:paraId="23977817" w14:textId="77035C34" w:rsidR="00AB108A" w:rsidRPr="00202C53" w:rsidRDefault="00AF7D06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FF0000"/>
                <w:sz w:val="20"/>
                <w:szCs w:val="20"/>
                <w:lang w:val="es-PE" w:eastAsia="es-PE"/>
              </w:rPr>
            </w:pPr>
            <w:r w:rsidRPr="00202C53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PE" w:eastAsia="es-PE"/>
              </w:rPr>
              <w:t>2</w:t>
            </w:r>
          </w:p>
        </w:tc>
      </w:tr>
    </w:tbl>
    <w:p w14:paraId="3ED7AC50" w14:textId="69155BB6" w:rsidR="00CA2731" w:rsidRPr="00243AF2" w:rsidRDefault="00AF7D06" w:rsidP="00832A57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243AF2">
        <w:rPr>
          <w:rFonts w:ascii="Arial Narrow" w:hAnsi="Arial Narrow"/>
          <w:sz w:val="18"/>
          <w:szCs w:val="18"/>
          <w:lang w:val="es-PE"/>
        </w:rPr>
        <w:t>F</w:t>
      </w:r>
      <w:r w:rsidR="00CF536A" w:rsidRPr="00243AF2">
        <w:rPr>
          <w:rFonts w:ascii="Arial Narrow" w:hAnsi="Arial Narrow"/>
          <w:sz w:val="18"/>
          <w:szCs w:val="18"/>
          <w:lang w:val="es-PE"/>
        </w:rPr>
        <w:t>uente</w:t>
      </w:r>
      <w:r w:rsidRPr="00243AF2">
        <w:rPr>
          <w:rFonts w:ascii="Arial Narrow" w:hAnsi="Arial Narrow"/>
          <w:sz w:val="18"/>
          <w:szCs w:val="18"/>
          <w:lang w:val="es-PE"/>
        </w:rPr>
        <w:t>:</w:t>
      </w:r>
      <w:r w:rsidR="00EF4592" w:rsidRPr="00243AF2">
        <w:rPr>
          <w:rFonts w:ascii="Arial Narrow" w:hAnsi="Arial Narrow"/>
          <w:sz w:val="18"/>
          <w:szCs w:val="18"/>
          <w:lang w:val="es-PE"/>
        </w:rPr>
        <w:t xml:space="preserve"> </w:t>
      </w:r>
      <w:r w:rsidRPr="00243AF2">
        <w:rPr>
          <w:rFonts w:ascii="Arial Narrow" w:hAnsi="Arial Narrow"/>
          <w:sz w:val="18"/>
          <w:szCs w:val="18"/>
          <w:lang w:val="es-PE"/>
        </w:rPr>
        <w:t xml:space="preserve">Cenepred </w:t>
      </w:r>
      <w:r w:rsidR="00EF4592" w:rsidRPr="00243AF2">
        <w:rPr>
          <w:rFonts w:ascii="Arial Narrow" w:hAnsi="Arial Narrow"/>
          <w:sz w:val="18"/>
          <w:szCs w:val="18"/>
          <w:lang w:val="es-PE"/>
        </w:rPr>
        <w:t>(2025)</w:t>
      </w:r>
      <w:r w:rsidR="00CA2731" w:rsidRPr="00243AF2">
        <w:rPr>
          <w:rFonts w:ascii="Arial Narrow" w:hAnsi="Arial Narrow"/>
          <w:sz w:val="18"/>
          <w:szCs w:val="18"/>
          <w:lang w:val="es-PE"/>
        </w:rPr>
        <w:t>.</w:t>
      </w:r>
    </w:p>
    <w:p w14:paraId="08177BEC" w14:textId="77777777" w:rsidR="00CA2731" w:rsidRDefault="00CA2731" w:rsidP="009B6232">
      <w:pPr>
        <w:ind w:left="360"/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377C24E9" w14:textId="730355EF" w:rsidR="00A21DC4" w:rsidRPr="00846A0F" w:rsidRDefault="00A21DC4" w:rsidP="00A21DC4">
      <w:pPr>
        <w:contextualSpacing/>
        <w:jc w:val="both"/>
        <w:rPr>
          <w:rFonts w:ascii="Arial Narrow" w:hAnsi="Arial Narrow"/>
          <w:spacing w:val="-6"/>
          <w:sz w:val="21"/>
          <w:szCs w:val="21"/>
          <w:lang w:val="es-PE"/>
        </w:rPr>
      </w:pPr>
      <w:r>
        <w:rPr>
          <w:rFonts w:ascii="Arial Narrow" w:hAnsi="Arial Narrow"/>
          <w:spacing w:val="-6"/>
          <w:sz w:val="21"/>
          <w:szCs w:val="21"/>
          <w:lang w:val="es-PE"/>
        </w:rPr>
        <w:t>En l</w:t>
      </w:r>
      <w:r w:rsidRPr="00846A0F">
        <w:rPr>
          <w:rFonts w:ascii="Arial Narrow" w:hAnsi="Arial Narrow"/>
          <w:spacing w:val="-6"/>
          <w:sz w:val="21"/>
          <w:szCs w:val="21"/>
          <w:lang w:val="es-PE"/>
        </w:rPr>
        <w:t>a Tabla</w:t>
      </w:r>
      <w:r>
        <w:rPr>
          <w:rFonts w:ascii="Arial Narrow" w:hAnsi="Arial Narrow"/>
          <w:spacing w:val="-6"/>
          <w:sz w:val="21"/>
          <w:szCs w:val="21"/>
          <w:lang w:val="es-PE"/>
        </w:rPr>
        <w:t xml:space="preserve"> 3</w:t>
      </w:r>
      <w:r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 </w:t>
      </w:r>
      <w:r>
        <w:rPr>
          <w:rFonts w:ascii="Arial Narrow" w:hAnsi="Arial Narrow"/>
          <w:spacing w:val="-6"/>
          <w:sz w:val="21"/>
          <w:szCs w:val="21"/>
          <w:lang w:val="es-PE"/>
        </w:rPr>
        <w:t xml:space="preserve">se detalla </w:t>
      </w:r>
      <w:r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el cronograma de ejecución </w:t>
      </w:r>
      <w:r>
        <w:rPr>
          <w:rFonts w:ascii="Arial Narrow" w:hAnsi="Arial Narrow"/>
          <w:spacing w:val="-6"/>
          <w:sz w:val="21"/>
          <w:szCs w:val="21"/>
          <w:lang w:val="es-PE"/>
        </w:rPr>
        <w:t xml:space="preserve">financiera </w:t>
      </w:r>
      <w:r w:rsidRPr="00846A0F">
        <w:rPr>
          <w:rFonts w:ascii="Arial Narrow" w:hAnsi="Arial Narrow"/>
          <w:spacing w:val="-6"/>
          <w:sz w:val="21"/>
          <w:szCs w:val="21"/>
          <w:lang w:val="es-PE"/>
        </w:rPr>
        <w:t>de las intervenciones a cargo del sector Defensa, a través del Cenepred.</w:t>
      </w:r>
    </w:p>
    <w:p w14:paraId="30A0CB4C" w14:textId="77777777" w:rsidR="00A21DC4" w:rsidRPr="00846A0F" w:rsidRDefault="00A21DC4" w:rsidP="00A21DC4">
      <w:pPr>
        <w:contextualSpacing/>
        <w:jc w:val="both"/>
        <w:rPr>
          <w:rFonts w:ascii="Arial Narrow" w:hAnsi="Arial Narrow"/>
          <w:sz w:val="20"/>
          <w:szCs w:val="20"/>
          <w:lang w:val="es-PE"/>
        </w:rPr>
      </w:pPr>
    </w:p>
    <w:p w14:paraId="23A3F57B" w14:textId="1891CC4C" w:rsidR="00A21DC4" w:rsidRPr="005A146E" w:rsidRDefault="00A21DC4" w:rsidP="00A21DC4">
      <w:pPr>
        <w:contextualSpacing/>
        <w:jc w:val="both"/>
        <w:rPr>
          <w:rFonts w:ascii="Arial Narrow" w:hAnsi="Arial Narrow"/>
          <w:b/>
          <w:bCs/>
          <w:sz w:val="18"/>
          <w:szCs w:val="18"/>
          <w:lang w:val="es-PE"/>
        </w:rPr>
      </w:pPr>
      <w:r w:rsidRPr="005A146E">
        <w:rPr>
          <w:rFonts w:ascii="Arial Narrow" w:hAnsi="Arial Narrow"/>
          <w:b/>
          <w:bCs/>
          <w:sz w:val="18"/>
          <w:szCs w:val="18"/>
          <w:lang w:val="es-PE"/>
        </w:rPr>
        <w:t xml:space="preserve">Tabla </w:t>
      </w:r>
      <w:r w:rsidR="001D5FA9">
        <w:rPr>
          <w:rFonts w:ascii="Arial Narrow" w:hAnsi="Arial Narrow"/>
          <w:b/>
          <w:bCs/>
          <w:sz w:val="18"/>
          <w:szCs w:val="18"/>
          <w:lang w:val="es-PE"/>
        </w:rPr>
        <w:t>3</w:t>
      </w:r>
    </w:p>
    <w:p w14:paraId="640D457A" w14:textId="2D887CAB" w:rsidR="00A21DC4" w:rsidRDefault="00A21DC4" w:rsidP="00A21DC4">
      <w:pPr>
        <w:contextualSpacing/>
        <w:jc w:val="both"/>
        <w:rPr>
          <w:rFonts w:ascii="Arial Narrow" w:hAnsi="Arial Narrow"/>
          <w:i/>
          <w:iCs/>
          <w:sz w:val="18"/>
          <w:szCs w:val="18"/>
          <w:lang w:val="es-PE"/>
        </w:rPr>
      </w:pPr>
      <w:r w:rsidRPr="00243AF2">
        <w:rPr>
          <w:rFonts w:ascii="Arial Narrow" w:hAnsi="Arial Narrow"/>
          <w:i/>
          <w:iCs/>
          <w:sz w:val="18"/>
          <w:szCs w:val="18"/>
          <w:lang w:val="es-PE"/>
        </w:rPr>
        <w:t xml:space="preserve">Cronograma de actividades </w:t>
      </w:r>
      <w:r>
        <w:rPr>
          <w:rFonts w:ascii="Arial Narrow" w:hAnsi="Arial Narrow"/>
          <w:i/>
          <w:iCs/>
          <w:sz w:val="18"/>
          <w:szCs w:val="18"/>
          <w:lang w:val="es-PE"/>
        </w:rPr>
        <w:t xml:space="preserve">financieras </w:t>
      </w:r>
      <w:r w:rsidRPr="00243AF2">
        <w:rPr>
          <w:rFonts w:ascii="Arial Narrow" w:hAnsi="Arial Narrow"/>
          <w:i/>
          <w:iCs/>
          <w:sz w:val="18"/>
          <w:szCs w:val="18"/>
          <w:lang w:val="es-PE"/>
        </w:rPr>
        <w:t>del sector Defensa programadas para el PLIA 2025 – 2027.</w:t>
      </w:r>
    </w:p>
    <w:tbl>
      <w:tblPr>
        <w:tblW w:w="900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8"/>
        <w:gridCol w:w="2798"/>
        <w:gridCol w:w="992"/>
        <w:gridCol w:w="992"/>
        <w:gridCol w:w="851"/>
        <w:gridCol w:w="708"/>
        <w:gridCol w:w="709"/>
        <w:gridCol w:w="709"/>
        <w:gridCol w:w="785"/>
      </w:tblGrid>
      <w:tr w:rsidR="00A21DC4" w:rsidRPr="00A21DC4" w14:paraId="086DB77C" w14:textId="77777777" w:rsidTr="001D5FA9">
        <w:trPr>
          <w:trHeight w:val="293"/>
        </w:trPr>
        <w:tc>
          <w:tcPr>
            <w:tcW w:w="4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166D82C1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Ítem</w:t>
            </w:r>
          </w:p>
        </w:tc>
        <w:tc>
          <w:tcPr>
            <w:tcW w:w="27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23DE176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Descripción de la intervención del plan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1AFF19F3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Alcance geográfico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47934DF4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Unidad de medida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79226FD7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Meta financiera</w:t>
            </w:r>
          </w:p>
        </w:tc>
        <w:tc>
          <w:tcPr>
            <w:tcW w:w="29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39298204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MES</w:t>
            </w:r>
          </w:p>
        </w:tc>
      </w:tr>
      <w:tr w:rsidR="00A21DC4" w:rsidRPr="00A21DC4" w14:paraId="16EF6CAC" w14:textId="77777777" w:rsidTr="001D5FA9">
        <w:trPr>
          <w:trHeight w:val="283"/>
        </w:trPr>
        <w:tc>
          <w:tcPr>
            <w:tcW w:w="4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4D654" w14:textId="77777777" w:rsidR="00A21DC4" w:rsidRPr="00A21DC4" w:rsidRDefault="00A21DC4" w:rsidP="00A21DC4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27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F3CE4" w14:textId="77777777" w:rsidR="00A21DC4" w:rsidRPr="00A21DC4" w:rsidRDefault="00A21DC4" w:rsidP="00A21DC4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0FD1B7" w14:textId="77777777" w:rsidR="00A21DC4" w:rsidRPr="00A21DC4" w:rsidRDefault="00A21DC4" w:rsidP="00A21DC4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D3FFB" w14:textId="77777777" w:rsidR="00A21DC4" w:rsidRPr="00A21DC4" w:rsidRDefault="00A21DC4" w:rsidP="00A21DC4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BC6C9A" w14:textId="77777777" w:rsidR="00A21DC4" w:rsidRPr="00A21DC4" w:rsidRDefault="00A21DC4" w:rsidP="00A21DC4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4D9F49DA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MAY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72E11E69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JUN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4158A9C4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JUL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175955B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AGO</w:t>
            </w:r>
          </w:p>
        </w:tc>
      </w:tr>
      <w:tr w:rsidR="00A21DC4" w:rsidRPr="00A21DC4" w14:paraId="6035B9C8" w14:textId="77777777" w:rsidTr="001D5FA9">
        <w:trPr>
          <w:trHeight w:val="704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8C731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 1</w:t>
            </w:r>
          </w:p>
        </w:tc>
        <w:tc>
          <w:tcPr>
            <w:tcW w:w="2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E9DCD" w14:textId="77777777" w:rsidR="00A21DC4" w:rsidRPr="00A21DC4" w:rsidRDefault="00A21DC4" w:rsidP="001D5FA9">
            <w:pPr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Elaboración del escenario de riesgo por inundación en la provincia de Nazca, departamento de Ica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8680F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Provincia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CF632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Estudio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DA19F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15,000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E3936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4,500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5AE8D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61A36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5,250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84BED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5,250</w:t>
            </w:r>
          </w:p>
        </w:tc>
      </w:tr>
      <w:tr w:rsidR="00A21DC4" w:rsidRPr="00A21DC4" w14:paraId="695154B6" w14:textId="77777777" w:rsidTr="001D5FA9">
        <w:trPr>
          <w:trHeight w:val="701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52313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 2</w:t>
            </w:r>
          </w:p>
        </w:tc>
        <w:tc>
          <w:tcPr>
            <w:tcW w:w="2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F3538" w14:textId="77777777" w:rsidR="00A21DC4" w:rsidRPr="00A21DC4" w:rsidRDefault="00A21DC4" w:rsidP="001D5FA9">
            <w:pPr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Elaboración del escenario de riesgo por inundación en la provincia de Lucanas, departamento de Ayacucho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96A5B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Provincia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1E3B3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Estudio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91E2C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15,000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75727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4,500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72C7E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28F86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5,250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8F8E5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5,250</w:t>
            </w:r>
          </w:p>
        </w:tc>
      </w:tr>
      <w:tr w:rsidR="00A21DC4" w:rsidRPr="00A21DC4" w14:paraId="0B13BAB0" w14:textId="77777777" w:rsidTr="00A21DC4">
        <w:trPr>
          <w:trHeight w:val="420"/>
        </w:trPr>
        <w:tc>
          <w:tcPr>
            <w:tcW w:w="60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02BBD0E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es-PE" w:eastAsia="es-PE"/>
              </w:rPr>
              <w:t>TOTAL</w:t>
            </w:r>
          </w:p>
        </w:tc>
        <w:tc>
          <w:tcPr>
            <w:tcW w:w="29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5900B45A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es-PE" w:eastAsia="es-PE"/>
              </w:rPr>
              <w:t>S/ 30,000</w:t>
            </w:r>
          </w:p>
        </w:tc>
      </w:tr>
    </w:tbl>
    <w:p w14:paraId="0ADEA0A3" w14:textId="77777777" w:rsidR="00A21DC4" w:rsidRPr="00243AF2" w:rsidRDefault="00A21DC4" w:rsidP="00A21DC4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243AF2">
        <w:rPr>
          <w:rFonts w:ascii="Arial Narrow" w:hAnsi="Arial Narrow"/>
          <w:sz w:val="18"/>
          <w:szCs w:val="18"/>
          <w:lang w:val="es-PE"/>
        </w:rPr>
        <w:t>Fuente: Cenepred (2025).</w:t>
      </w:r>
    </w:p>
    <w:p w14:paraId="19C548B6" w14:textId="77777777" w:rsidR="00A21DC4" w:rsidRDefault="00A21DC4" w:rsidP="00A21DC4">
      <w:pPr>
        <w:ind w:left="360"/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0F0582DB" w14:textId="1D7EC997" w:rsidR="00556558" w:rsidRPr="00E955EF" w:rsidRDefault="00556558" w:rsidP="00556558">
      <w:pPr>
        <w:numPr>
          <w:ilvl w:val="1"/>
          <w:numId w:val="13"/>
        </w:numPr>
        <w:ind w:left="426" w:hanging="426"/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Logros y avance mensual del PLIA 2025 – 2027</w:t>
      </w:r>
    </w:p>
    <w:p w14:paraId="34ED4222" w14:textId="499907F8" w:rsidR="00774357" w:rsidRDefault="00AF7D06" w:rsidP="00774357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243AF2">
        <w:rPr>
          <w:rFonts w:ascii="Arial Narrow" w:hAnsi="Arial Narrow"/>
          <w:sz w:val="21"/>
          <w:szCs w:val="21"/>
          <w:lang w:val="es-PE"/>
        </w:rPr>
        <w:t>Los estudios de escenarios de riesgos</w:t>
      </w:r>
      <w:r w:rsidR="00774357">
        <w:rPr>
          <w:rFonts w:ascii="Arial Narrow" w:hAnsi="Arial Narrow"/>
          <w:sz w:val="21"/>
          <w:szCs w:val="21"/>
          <w:lang w:val="es-PE"/>
        </w:rPr>
        <w:t>,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 elaborados en el marco del PLIA 2025 – 2027</w:t>
      </w:r>
      <w:r w:rsidR="00774357">
        <w:rPr>
          <w:rFonts w:ascii="Arial Narrow" w:hAnsi="Arial Narrow"/>
          <w:sz w:val="21"/>
          <w:szCs w:val="21"/>
          <w:lang w:val="es-PE"/>
        </w:rPr>
        <w:t>,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 </w:t>
      </w:r>
      <w:r w:rsidR="00774357">
        <w:rPr>
          <w:rFonts w:ascii="Arial Narrow" w:hAnsi="Arial Narrow"/>
          <w:sz w:val="21"/>
          <w:szCs w:val="21"/>
          <w:lang w:val="es-PE"/>
        </w:rPr>
        <w:t xml:space="preserve">están </w:t>
      </w:r>
      <w:r w:rsidRPr="00243AF2">
        <w:rPr>
          <w:rFonts w:ascii="Arial Narrow" w:hAnsi="Arial Narrow"/>
          <w:sz w:val="21"/>
          <w:szCs w:val="21"/>
          <w:lang w:val="es-PE"/>
        </w:rPr>
        <w:t>programado</w:t>
      </w:r>
      <w:r w:rsidR="00774357">
        <w:rPr>
          <w:rFonts w:ascii="Arial Narrow" w:hAnsi="Arial Narrow"/>
          <w:sz w:val="21"/>
          <w:szCs w:val="21"/>
          <w:lang w:val="es-PE"/>
        </w:rPr>
        <w:t>s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 </w:t>
      </w:r>
      <w:r w:rsidR="00774357">
        <w:rPr>
          <w:rFonts w:ascii="Arial Narrow" w:hAnsi="Arial Narrow"/>
          <w:sz w:val="21"/>
          <w:szCs w:val="21"/>
          <w:lang w:val="es-PE"/>
        </w:rPr>
        <w:t xml:space="preserve">para </w:t>
      </w:r>
      <w:r w:rsidRPr="00243AF2">
        <w:rPr>
          <w:rFonts w:ascii="Arial Narrow" w:hAnsi="Arial Narrow"/>
          <w:sz w:val="21"/>
          <w:szCs w:val="21"/>
          <w:lang w:val="es-PE"/>
        </w:rPr>
        <w:t>realizar</w:t>
      </w:r>
      <w:r w:rsidR="00774357">
        <w:rPr>
          <w:rFonts w:ascii="Arial Narrow" w:hAnsi="Arial Narrow"/>
          <w:sz w:val="21"/>
          <w:szCs w:val="21"/>
          <w:lang w:val="es-PE"/>
        </w:rPr>
        <w:t>se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 </w:t>
      </w:r>
      <w:r w:rsidR="0030361C" w:rsidRPr="00243AF2">
        <w:rPr>
          <w:rFonts w:ascii="Arial Narrow" w:hAnsi="Arial Narrow"/>
          <w:sz w:val="21"/>
          <w:szCs w:val="21"/>
          <w:lang w:val="es-PE"/>
        </w:rPr>
        <w:t xml:space="preserve">entre los meses de marzo a </w:t>
      </w:r>
      <w:r w:rsidR="00A70703">
        <w:rPr>
          <w:rFonts w:ascii="Arial Narrow" w:hAnsi="Arial Narrow"/>
          <w:sz w:val="21"/>
          <w:szCs w:val="21"/>
          <w:lang w:val="es-PE"/>
        </w:rPr>
        <w:t>ju</w:t>
      </w:r>
      <w:r w:rsidR="00236BBE">
        <w:rPr>
          <w:rFonts w:ascii="Arial Narrow" w:hAnsi="Arial Narrow"/>
          <w:sz w:val="21"/>
          <w:szCs w:val="21"/>
          <w:lang w:val="es-PE"/>
        </w:rPr>
        <w:t>l</w:t>
      </w:r>
      <w:r w:rsidR="00A70703">
        <w:rPr>
          <w:rFonts w:ascii="Arial Narrow" w:hAnsi="Arial Narrow"/>
          <w:sz w:val="21"/>
          <w:szCs w:val="21"/>
          <w:lang w:val="es-PE"/>
        </w:rPr>
        <w:t>io</w:t>
      </w:r>
      <w:r w:rsidR="0030361C" w:rsidRPr="00243AF2">
        <w:rPr>
          <w:rFonts w:ascii="Arial Narrow" w:hAnsi="Arial Narrow"/>
          <w:sz w:val="21"/>
          <w:szCs w:val="21"/>
          <w:lang w:val="es-PE"/>
        </w:rPr>
        <w:t xml:space="preserve"> del 2025</w:t>
      </w:r>
      <w:r w:rsidR="002D32FD" w:rsidRPr="00243AF2">
        <w:rPr>
          <w:rFonts w:ascii="Arial Narrow" w:hAnsi="Arial Narrow"/>
          <w:sz w:val="21"/>
          <w:szCs w:val="21"/>
          <w:lang w:val="es-PE"/>
        </w:rPr>
        <w:t xml:space="preserve">. Para ello, </w:t>
      </w:r>
      <w:r w:rsidR="0030361C" w:rsidRPr="00243AF2">
        <w:rPr>
          <w:rFonts w:ascii="Arial Narrow" w:hAnsi="Arial Narrow"/>
          <w:sz w:val="21"/>
          <w:szCs w:val="21"/>
          <w:lang w:val="es-PE"/>
        </w:rPr>
        <w:t xml:space="preserve">se </w:t>
      </w:r>
      <w:r w:rsidR="00117981">
        <w:rPr>
          <w:rFonts w:ascii="Arial Narrow" w:hAnsi="Arial Narrow"/>
          <w:sz w:val="21"/>
          <w:szCs w:val="21"/>
          <w:lang w:val="es-PE"/>
        </w:rPr>
        <w:t xml:space="preserve">dispuso </w:t>
      </w:r>
      <w:r w:rsidR="007E2352" w:rsidRPr="00243AF2">
        <w:rPr>
          <w:rFonts w:ascii="Arial Narrow" w:hAnsi="Arial Narrow"/>
          <w:sz w:val="21"/>
          <w:szCs w:val="21"/>
          <w:lang w:val="es-PE"/>
        </w:rPr>
        <w:t xml:space="preserve">la </w:t>
      </w:r>
      <w:bookmarkStart w:id="1" w:name="_Hlk190439060"/>
      <w:r w:rsidR="007E2352" w:rsidRPr="00243AF2">
        <w:rPr>
          <w:rFonts w:ascii="Arial Narrow" w:hAnsi="Arial Narrow"/>
          <w:sz w:val="21"/>
          <w:szCs w:val="21"/>
          <w:lang w:val="es-PE"/>
        </w:rPr>
        <w:t xml:space="preserve">contratación del </w:t>
      </w:r>
      <w:r w:rsidR="0030361C" w:rsidRPr="00243AF2">
        <w:rPr>
          <w:rFonts w:ascii="Arial Narrow" w:hAnsi="Arial Narrow"/>
          <w:sz w:val="21"/>
          <w:szCs w:val="21"/>
          <w:lang w:val="es-PE"/>
        </w:rPr>
        <w:t xml:space="preserve">servicio de un especialista </w:t>
      </w:r>
      <w:bookmarkEnd w:id="1"/>
      <w:r w:rsidR="00094C02" w:rsidRPr="0047455F">
        <w:rPr>
          <w:rFonts w:ascii="Arial Narrow" w:hAnsi="Arial Narrow"/>
          <w:sz w:val="21"/>
          <w:szCs w:val="21"/>
          <w:lang w:val="es-PE"/>
        </w:rPr>
        <w:t>mediante una adjudicación sin proceso (menor a 8 UIT).</w:t>
      </w:r>
      <w:r w:rsidR="00236BBE">
        <w:rPr>
          <w:rFonts w:ascii="Arial Narrow" w:hAnsi="Arial Narrow"/>
          <w:sz w:val="21"/>
          <w:szCs w:val="21"/>
          <w:lang w:val="es-PE"/>
        </w:rPr>
        <w:t xml:space="preserve"> </w:t>
      </w:r>
    </w:p>
    <w:p w14:paraId="5D2666E0" w14:textId="710A7E62" w:rsidR="005A7E3E" w:rsidRPr="00243AF2" w:rsidRDefault="00236BBE" w:rsidP="005A7E3E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En febrero 2025</w:t>
      </w:r>
      <w:r w:rsidR="007E2352" w:rsidRPr="00243AF2">
        <w:rPr>
          <w:rFonts w:ascii="Arial Narrow" w:hAnsi="Arial Narrow"/>
          <w:sz w:val="21"/>
          <w:szCs w:val="21"/>
          <w:lang w:val="es-PE"/>
        </w:rPr>
        <w:t>,</w:t>
      </w:r>
      <w:r>
        <w:rPr>
          <w:rFonts w:ascii="Arial Narrow" w:hAnsi="Arial Narrow"/>
          <w:sz w:val="21"/>
          <w:szCs w:val="21"/>
          <w:lang w:val="es-PE"/>
        </w:rPr>
        <w:t xml:space="preserve"> se </w:t>
      </w:r>
      <w:r w:rsidR="00774357">
        <w:rPr>
          <w:rFonts w:ascii="Arial Narrow" w:hAnsi="Arial Narrow"/>
          <w:sz w:val="21"/>
          <w:szCs w:val="21"/>
          <w:lang w:val="es-PE"/>
        </w:rPr>
        <w:t xml:space="preserve">llevó a cabo </w:t>
      </w:r>
      <w:r>
        <w:rPr>
          <w:rFonts w:ascii="Arial Narrow" w:hAnsi="Arial Narrow"/>
          <w:sz w:val="21"/>
          <w:szCs w:val="21"/>
          <w:lang w:val="es-PE"/>
        </w:rPr>
        <w:t xml:space="preserve">el proceso de </w:t>
      </w:r>
      <w:r w:rsidR="00774357">
        <w:rPr>
          <w:rFonts w:ascii="Arial Narrow" w:hAnsi="Arial Narrow"/>
          <w:sz w:val="21"/>
          <w:szCs w:val="21"/>
          <w:lang w:val="es-PE"/>
        </w:rPr>
        <w:t xml:space="preserve">actos preparatorios y </w:t>
      </w:r>
      <w:r>
        <w:rPr>
          <w:rFonts w:ascii="Arial Narrow" w:hAnsi="Arial Narrow"/>
          <w:sz w:val="21"/>
          <w:szCs w:val="21"/>
          <w:lang w:val="es-PE"/>
        </w:rPr>
        <w:t>selección del especialista para el desarrollo del servicio en mención</w:t>
      </w:r>
      <w:r w:rsidR="002D32FD" w:rsidRPr="00243AF2">
        <w:rPr>
          <w:rFonts w:ascii="Arial Narrow" w:hAnsi="Arial Narrow"/>
          <w:sz w:val="21"/>
          <w:szCs w:val="21"/>
          <w:lang w:val="es-PE"/>
        </w:rPr>
        <w:t>.</w:t>
      </w:r>
    </w:p>
    <w:p w14:paraId="66D12788" w14:textId="614ACF64" w:rsidR="00E65D42" w:rsidRDefault="00774357" w:rsidP="002560F5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</w:t>
      </w:r>
      <w:r w:rsidR="00117981">
        <w:rPr>
          <w:rFonts w:ascii="Arial Narrow" w:hAnsi="Arial Narrow"/>
          <w:sz w:val="21"/>
          <w:szCs w:val="21"/>
          <w:lang w:val="es-PE"/>
        </w:rPr>
        <w:t>n</w:t>
      </w:r>
      <w:r>
        <w:rPr>
          <w:rFonts w:ascii="Arial Narrow" w:hAnsi="Arial Narrow"/>
          <w:sz w:val="21"/>
          <w:szCs w:val="21"/>
          <w:lang w:val="es-PE"/>
        </w:rPr>
        <w:t xml:space="preserve"> </w:t>
      </w:r>
      <w:r w:rsidR="00E955EF">
        <w:rPr>
          <w:rFonts w:ascii="Arial Narrow" w:hAnsi="Arial Narrow"/>
          <w:sz w:val="21"/>
          <w:szCs w:val="21"/>
          <w:lang w:val="es-PE"/>
        </w:rPr>
        <w:t>marzo 2025</w:t>
      </w:r>
      <w:r>
        <w:rPr>
          <w:rFonts w:ascii="Arial Narrow" w:hAnsi="Arial Narrow"/>
          <w:sz w:val="21"/>
          <w:szCs w:val="21"/>
          <w:lang w:val="es-PE"/>
        </w:rPr>
        <w:t xml:space="preserve">, se inició el servicio </w:t>
      </w:r>
      <w:r w:rsidRPr="00774357">
        <w:rPr>
          <w:rFonts w:ascii="Arial Narrow" w:hAnsi="Arial Narrow"/>
          <w:sz w:val="21"/>
          <w:szCs w:val="21"/>
          <w:lang w:val="es-PE"/>
        </w:rPr>
        <w:t>especializado en gestión de riesgos y desastres</w:t>
      </w:r>
      <w:r>
        <w:rPr>
          <w:rFonts w:ascii="Arial Narrow" w:hAnsi="Arial Narrow"/>
          <w:sz w:val="21"/>
          <w:szCs w:val="21"/>
          <w:lang w:val="es-PE"/>
        </w:rPr>
        <w:t xml:space="preserve">, mediante la Orden de Servicio N° 00058-2025, bajo el concepto “Contratación 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del servicio de un especialista en análisis y modelamiento de </w:t>
      </w:r>
      <w:r w:rsidRPr="00774357">
        <w:rPr>
          <w:rFonts w:ascii="Arial Narrow" w:hAnsi="Arial Narrow"/>
          <w:sz w:val="21"/>
          <w:szCs w:val="21"/>
          <w:lang w:val="es-PE"/>
        </w:rPr>
        <w:t>escenarios de riesgo por</w:t>
      </w:r>
      <w:r>
        <w:rPr>
          <w:rFonts w:ascii="Arial Narrow" w:hAnsi="Arial Narrow"/>
          <w:sz w:val="21"/>
          <w:szCs w:val="21"/>
          <w:lang w:val="es-PE"/>
        </w:rPr>
        <w:t xml:space="preserve"> </w:t>
      </w:r>
      <w:r w:rsidRPr="00774357">
        <w:rPr>
          <w:rFonts w:ascii="Arial Narrow" w:hAnsi="Arial Narrow"/>
          <w:sz w:val="21"/>
          <w:szCs w:val="21"/>
          <w:lang w:val="es-PE"/>
        </w:rPr>
        <w:t>inundación a nivel de cuenca</w:t>
      </w:r>
      <w:r>
        <w:rPr>
          <w:rFonts w:ascii="Arial Narrow" w:hAnsi="Arial Narrow"/>
          <w:sz w:val="21"/>
          <w:szCs w:val="21"/>
          <w:lang w:val="es-PE"/>
        </w:rPr>
        <w:t>”.</w:t>
      </w:r>
    </w:p>
    <w:p w14:paraId="7708EEAF" w14:textId="0927D833" w:rsidR="00CD5140" w:rsidRPr="0065440E" w:rsidRDefault="00CD5140" w:rsidP="00CD5140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65440E">
        <w:rPr>
          <w:rFonts w:ascii="Arial Narrow" w:hAnsi="Arial Narrow"/>
          <w:sz w:val="21"/>
          <w:szCs w:val="21"/>
          <w:lang w:val="es-PE"/>
        </w:rPr>
        <w:t xml:space="preserve">En abril 2025, se culminó el primer entregable </w:t>
      </w:r>
      <w:r w:rsidR="00D4508C">
        <w:rPr>
          <w:rFonts w:ascii="Arial Narrow" w:hAnsi="Arial Narrow"/>
          <w:sz w:val="21"/>
          <w:szCs w:val="21"/>
          <w:lang w:val="es-PE"/>
        </w:rPr>
        <w:t>para</w:t>
      </w:r>
      <w:r w:rsidRPr="0065440E">
        <w:rPr>
          <w:rFonts w:ascii="Arial Narrow" w:hAnsi="Arial Narrow"/>
          <w:sz w:val="21"/>
          <w:szCs w:val="21"/>
          <w:lang w:val="es-PE"/>
        </w:rPr>
        <w:t xml:space="preserve"> ambos estudios, que </w:t>
      </w:r>
      <w:r w:rsidR="0040662A">
        <w:rPr>
          <w:rFonts w:ascii="Arial Narrow" w:hAnsi="Arial Narrow"/>
          <w:sz w:val="21"/>
          <w:szCs w:val="21"/>
          <w:lang w:val="es-PE"/>
        </w:rPr>
        <w:t xml:space="preserve">corresponde a </w:t>
      </w:r>
      <w:r w:rsidRPr="0065440E">
        <w:rPr>
          <w:rFonts w:ascii="Arial Narrow" w:hAnsi="Arial Narrow"/>
          <w:sz w:val="21"/>
          <w:szCs w:val="21"/>
          <w:lang w:val="es-PE"/>
        </w:rPr>
        <w:t>l</w:t>
      </w:r>
      <w:r w:rsidR="0040662A">
        <w:rPr>
          <w:rFonts w:ascii="Arial Narrow" w:hAnsi="Arial Narrow"/>
          <w:sz w:val="21"/>
          <w:szCs w:val="21"/>
          <w:lang w:val="es-PE"/>
        </w:rPr>
        <w:t>a</w:t>
      </w:r>
      <w:r w:rsidRPr="0065440E">
        <w:rPr>
          <w:rFonts w:ascii="Arial Narrow" w:hAnsi="Arial Narrow"/>
          <w:sz w:val="21"/>
          <w:szCs w:val="21"/>
          <w:lang w:val="es-PE"/>
        </w:rPr>
        <w:t xml:space="preserve"> propuesta del procedimiento metodológico para la elaboración de los escenarios de riesgo por inundación en la cuenca</w:t>
      </w:r>
      <w:r w:rsidR="0043790E" w:rsidRPr="0065440E">
        <w:rPr>
          <w:rFonts w:ascii="Arial Narrow" w:hAnsi="Arial Narrow"/>
          <w:sz w:val="21"/>
          <w:szCs w:val="21"/>
          <w:lang w:val="es-PE"/>
        </w:rPr>
        <w:t xml:space="preserve"> </w:t>
      </w:r>
      <w:r w:rsidRPr="0065440E">
        <w:rPr>
          <w:rFonts w:ascii="Arial Narrow" w:hAnsi="Arial Narrow"/>
          <w:sz w:val="21"/>
          <w:szCs w:val="21"/>
          <w:lang w:val="es-PE"/>
        </w:rPr>
        <w:t>del río Grande, comprendida en los departamentos de Ica y Ayacucho, así como el plan de trabajo, el cronograma del desarrollo del servicio y la información temática recopilada</w:t>
      </w:r>
      <w:r w:rsidR="0043790E" w:rsidRPr="0065440E">
        <w:rPr>
          <w:rFonts w:ascii="Arial Narrow" w:hAnsi="Arial Narrow"/>
          <w:sz w:val="21"/>
          <w:szCs w:val="21"/>
          <w:lang w:val="es-PE"/>
        </w:rPr>
        <w:t xml:space="preserve">. </w:t>
      </w:r>
      <w:bookmarkStart w:id="2" w:name="_Hlk202793733"/>
      <w:r w:rsidR="0043790E" w:rsidRPr="0065440E">
        <w:rPr>
          <w:rFonts w:ascii="Arial Narrow" w:hAnsi="Arial Narrow"/>
          <w:sz w:val="21"/>
          <w:szCs w:val="21"/>
          <w:lang w:val="es-PE"/>
        </w:rPr>
        <w:t xml:space="preserve">Esto representa el </w:t>
      </w:r>
      <w:bookmarkEnd w:id="2"/>
      <w:r w:rsidR="0043790E" w:rsidRPr="0065440E">
        <w:rPr>
          <w:rFonts w:ascii="Arial Narrow" w:hAnsi="Arial Narrow"/>
          <w:sz w:val="21"/>
          <w:szCs w:val="21"/>
          <w:lang w:val="es-PE"/>
        </w:rPr>
        <w:t>30% de avance total de esta actividad.</w:t>
      </w:r>
    </w:p>
    <w:p w14:paraId="2F8FD5A4" w14:textId="77777777" w:rsidR="001D5FA9" w:rsidRDefault="00372C8A" w:rsidP="00CD5140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65440E">
        <w:rPr>
          <w:rFonts w:ascii="Arial Narrow" w:hAnsi="Arial Narrow"/>
          <w:sz w:val="21"/>
          <w:szCs w:val="21"/>
          <w:lang w:val="es-PE"/>
        </w:rPr>
        <w:t>E</w:t>
      </w:r>
      <w:r w:rsidR="003B5C8E">
        <w:rPr>
          <w:rFonts w:ascii="Arial Narrow" w:hAnsi="Arial Narrow"/>
          <w:sz w:val="21"/>
          <w:szCs w:val="21"/>
          <w:lang w:val="es-PE"/>
        </w:rPr>
        <w:t xml:space="preserve">n </w:t>
      </w:r>
      <w:r w:rsidRPr="0065440E">
        <w:rPr>
          <w:rFonts w:ascii="Arial Narrow" w:hAnsi="Arial Narrow"/>
          <w:sz w:val="21"/>
          <w:szCs w:val="21"/>
          <w:lang w:val="es-PE"/>
        </w:rPr>
        <w:t>mayo</w:t>
      </w:r>
      <w:r w:rsidR="003B5C8E">
        <w:rPr>
          <w:rFonts w:ascii="Arial Narrow" w:hAnsi="Arial Narrow"/>
          <w:sz w:val="21"/>
          <w:szCs w:val="21"/>
          <w:lang w:val="es-PE"/>
        </w:rPr>
        <w:t xml:space="preserve"> </w:t>
      </w:r>
      <w:r w:rsidRPr="0065440E">
        <w:rPr>
          <w:rFonts w:ascii="Arial Narrow" w:hAnsi="Arial Narrow"/>
          <w:sz w:val="21"/>
          <w:szCs w:val="21"/>
          <w:lang w:val="es-PE"/>
        </w:rPr>
        <w:t>2025, se recepcionó el segundo entregable correspondiente al "Informe del análisis de susceptibilidad a</w:t>
      </w:r>
      <w:r w:rsidRPr="00372C8A">
        <w:rPr>
          <w:rFonts w:ascii="Arial Narrow" w:hAnsi="Arial Narrow"/>
          <w:sz w:val="21"/>
          <w:szCs w:val="21"/>
          <w:lang w:val="es-PE"/>
        </w:rPr>
        <w:t xml:space="preserve"> inundaciones de la cuenca del río Grande (Ica- Ayacucho)"</w:t>
      </w:r>
      <w:r w:rsidR="00856D6C">
        <w:rPr>
          <w:rFonts w:ascii="Arial Narrow" w:hAnsi="Arial Narrow"/>
          <w:sz w:val="21"/>
          <w:szCs w:val="21"/>
          <w:lang w:val="es-PE"/>
        </w:rPr>
        <w:t>, que comprende ambos estudios</w:t>
      </w:r>
      <w:r w:rsidRPr="00372C8A">
        <w:rPr>
          <w:rFonts w:ascii="Arial Narrow" w:hAnsi="Arial Narrow"/>
          <w:sz w:val="21"/>
          <w:szCs w:val="21"/>
          <w:lang w:val="es-PE"/>
        </w:rPr>
        <w:t>. Su revisión y culminación se programó para junio de 2025</w:t>
      </w:r>
      <w:r>
        <w:rPr>
          <w:rFonts w:ascii="Arial Narrow" w:hAnsi="Arial Narrow"/>
          <w:sz w:val="21"/>
          <w:szCs w:val="21"/>
          <w:lang w:val="es-PE"/>
        </w:rPr>
        <w:t xml:space="preserve">; por esta razón, la meta física </w:t>
      </w:r>
      <w:r w:rsidR="00856D6C">
        <w:rPr>
          <w:rFonts w:ascii="Arial Narrow" w:hAnsi="Arial Narrow"/>
          <w:sz w:val="21"/>
          <w:szCs w:val="21"/>
          <w:lang w:val="es-PE"/>
        </w:rPr>
        <w:t xml:space="preserve">para mayo 2025 </w:t>
      </w:r>
      <w:r>
        <w:rPr>
          <w:rFonts w:ascii="Arial Narrow" w:hAnsi="Arial Narrow"/>
          <w:sz w:val="21"/>
          <w:szCs w:val="21"/>
          <w:lang w:val="es-PE"/>
        </w:rPr>
        <w:t>se mantiene en un 30% de avance</w:t>
      </w:r>
      <w:r w:rsidR="00856D6C">
        <w:rPr>
          <w:rFonts w:ascii="Arial Narrow" w:hAnsi="Arial Narrow"/>
          <w:sz w:val="21"/>
          <w:szCs w:val="21"/>
          <w:lang w:val="es-PE"/>
        </w:rPr>
        <w:t xml:space="preserve">, según lo </w:t>
      </w:r>
      <w:r w:rsidRPr="00372C8A">
        <w:rPr>
          <w:rFonts w:ascii="Arial Narrow" w:hAnsi="Arial Narrow"/>
          <w:sz w:val="21"/>
          <w:szCs w:val="21"/>
          <w:lang w:val="es-PE"/>
        </w:rPr>
        <w:t>programado.</w:t>
      </w:r>
      <w:bookmarkStart w:id="3" w:name="_Hlk202793935"/>
    </w:p>
    <w:p w14:paraId="5EBAEB61" w14:textId="2AB9A8DC" w:rsidR="003B5C8E" w:rsidRDefault="003B5C8E" w:rsidP="00CD5140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En junio 2025</w:t>
      </w:r>
      <w:r w:rsidRPr="0065440E">
        <w:rPr>
          <w:rFonts w:ascii="Arial Narrow" w:hAnsi="Arial Narrow"/>
          <w:sz w:val="21"/>
          <w:szCs w:val="21"/>
          <w:lang w:val="es-PE"/>
        </w:rPr>
        <w:t xml:space="preserve">, </w:t>
      </w:r>
      <w:r>
        <w:rPr>
          <w:rFonts w:ascii="Arial Narrow" w:hAnsi="Arial Narrow"/>
          <w:sz w:val="21"/>
          <w:szCs w:val="21"/>
          <w:lang w:val="es-PE"/>
        </w:rPr>
        <w:t xml:space="preserve">se culminó </w:t>
      </w:r>
      <w:r w:rsidRPr="0065440E">
        <w:rPr>
          <w:rFonts w:ascii="Arial Narrow" w:hAnsi="Arial Narrow"/>
          <w:sz w:val="21"/>
          <w:szCs w:val="21"/>
          <w:lang w:val="es-PE"/>
        </w:rPr>
        <w:t>el segundo entregable correspondiente al "Informe del análisis de susceptibilidad a</w:t>
      </w:r>
      <w:r w:rsidRPr="00372C8A">
        <w:rPr>
          <w:rFonts w:ascii="Arial Narrow" w:hAnsi="Arial Narrow"/>
          <w:sz w:val="21"/>
          <w:szCs w:val="21"/>
          <w:lang w:val="es-PE"/>
        </w:rPr>
        <w:t xml:space="preserve"> inundaciones de la cuenca del río Grande (Ica- Ayacucho)"</w:t>
      </w:r>
      <w:r>
        <w:rPr>
          <w:rFonts w:ascii="Arial Narrow" w:hAnsi="Arial Narrow"/>
          <w:sz w:val="21"/>
          <w:szCs w:val="21"/>
          <w:lang w:val="es-PE"/>
        </w:rPr>
        <w:t>, lo cual representa el 60% de avance de la meta física. Este resultado se aplicará para ambos estudios de escenarios de riesgos</w:t>
      </w:r>
      <w:r w:rsidRPr="00372C8A">
        <w:rPr>
          <w:rFonts w:ascii="Arial Narrow" w:hAnsi="Arial Narrow"/>
          <w:sz w:val="21"/>
          <w:szCs w:val="21"/>
          <w:lang w:val="es-PE"/>
        </w:rPr>
        <w:t>.</w:t>
      </w:r>
    </w:p>
    <w:p w14:paraId="632FE878" w14:textId="1A4473BC" w:rsidR="00FB730B" w:rsidRDefault="00FB730B" w:rsidP="00CD5140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En julio 2025, se culminó los dos (02) </w:t>
      </w:r>
      <w:r w:rsidR="00722E8A">
        <w:rPr>
          <w:rFonts w:ascii="Arial Narrow" w:hAnsi="Arial Narrow"/>
          <w:sz w:val="21"/>
          <w:szCs w:val="21"/>
          <w:lang w:val="es-PE"/>
        </w:rPr>
        <w:t xml:space="preserve">escenarios de riesgos </w:t>
      </w:r>
      <w:r>
        <w:rPr>
          <w:rFonts w:ascii="Arial Narrow" w:hAnsi="Arial Narrow"/>
          <w:sz w:val="21"/>
          <w:szCs w:val="21"/>
          <w:lang w:val="es-PE"/>
        </w:rPr>
        <w:t xml:space="preserve">comprendidos en el ámbito de la cuenca del río Grande, </w:t>
      </w:r>
      <w:r w:rsidR="00722E8A">
        <w:rPr>
          <w:rFonts w:ascii="Arial Narrow" w:hAnsi="Arial Narrow"/>
          <w:sz w:val="21"/>
          <w:szCs w:val="21"/>
          <w:lang w:val="es-PE"/>
        </w:rPr>
        <w:t>uno en la provincia de Nasca (Ica) y el otro en la provincia de Lucanas (Ayacucho).</w:t>
      </w:r>
    </w:p>
    <w:bookmarkEnd w:id="3"/>
    <w:p w14:paraId="6FC1A085" w14:textId="2C5552F8" w:rsidR="00035729" w:rsidRPr="00E955EF" w:rsidRDefault="00035729" w:rsidP="00035729">
      <w:pPr>
        <w:numPr>
          <w:ilvl w:val="1"/>
          <w:numId w:val="13"/>
        </w:numPr>
        <w:ind w:left="426" w:hanging="426"/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lastRenderedPageBreak/>
        <w:t>Anál</w:t>
      </w:r>
      <w:r w:rsidR="004F52C3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i</w:t>
      </w: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sis de la ejecución física a</w:t>
      </w:r>
      <w:r w:rsidR="004F52C3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 </w:t>
      </w:r>
      <w:r w:rsidR="001D5FA9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julio</w:t>
      </w:r>
      <w:r w:rsidR="002D32FD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 </w:t>
      </w:r>
      <w:r w:rsidR="004F52C3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del </w:t>
      </w: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2025</w:t>
      </w:r>
    </w:p>
    <w:p w14:paraId="7145FE95" w14:textId="3D08CB9E" w:rsidR="002D32FD" w:rsidRPr="00243AF2" w:rsidRDefault="002D32FD" w:rsidP="002D32FD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243AF2">
        <w:rPr>
          <w:rFonts w:ascii="Arial Narrow" w:hAnsi="Arial Narrow"/>
          <w:sz w:val="21"/>
          <w:szCs w:val="21"/>
          <w:lang w:val="es-PE"/>
        </w:rPr>
        <w:t>La ejecución de la meta física 2025 tiene como fecha de inicio el 01/03/2025</w:t>
      </w:r>
      <w:r w:rsidR="00236BBE">
        <w:rPr>
          <w:rFonts w:ascii="Arial Narrow" w:hAnsi="Arial Narrow"/>
          <w:sz w:val="21"/>
          <w:szCs w:val="21"/>
          <w:lang w:val="es-PE"/>
        </w:rPr>
        <w:t xml:space="preserve"> y fecha de entrega el 30/07/2025. </w:t>
      </w:r>
      <w:bookmarkStart w:id="4" w:name="_Hlk192786366"/>
      <w:r w:rsidR="00236BBE">
        <w:rPr>
          <w:rFonts w:ascii="Arial Narrow" w:hAnsi="Arial Narrow"/>
          <w:sz w:val="21"/>
          <w:szCs w:val="21"/>
          <w:lang w:val="es-PE"/>
        </w:rPr>
        <w:t xml:space="preserve">El periodo de </w:t>
      </w:r>
      <w:r w:rsidR="00365848">
        <w:rPr>
          <w:rFonts w:ascii="Arial Narrow" w:hAnsi="Arial Narrow"/>
          <w:sz w:val="21"/>
          <w:szCs w:val="21"/>
          <w:lang w:val="es-PE"/>
        </w:rPr>
        <w:t>ejecución</w:t>
      </w:r>
      <w:r w:rsidR="008E3FCB">
        <w:rPr>
          <w:rFonts w:ascii="Arial Narrow" w:hAnsi="Arial Narrow"/>
          <w:sz w:val="21"/>
          <w:szCs w:val="21"/>
          <w:lang w:val="es-PE"/>
        </w:rPr>
        <w:t xml:space="preserve"> de los dos estudios programados es de cinco meses, de los cuales </w:t>
      </w:r>
      <w:r w:rsidR="00236BBE">
        <w:rPr>
          <w:rFonts w:ascii="Arial Narrow" w:hAnsi="Arial Narrow"/>
          <w:sz w:val="21"/>
          <w:szCs w:val="21"/>
          <w:lang w:val="es-PE"/>
        </w:rPr>
        <w:t>cuatro meses</w:t>
      </w:r>
      <w:r w:rsidR="008E3FCB">
        <w:rPr>
          <w:rFonts w:ascii="Arial Narrow" w:hAnsi="Arial Narrow"/>
          <w:sz w:val="21"/>
          <w:szCs w:val="21"/>
          <w:lang w:val="es-PE"/>
        </w:rPr>
        <w:t xml:space="preserve"> están destinados a la elaboración de los estudios y un mes a la revisión y publicación en el Sistema de Información para la Gestión del Riesgo de Desastres (SIGRID)</w:t>
      </w:r>
      <w:r w:rsidR="00236BBE">
        <w:rPr>
          <w:rFonts w:ascii="Arial Narrow" w:hAnsi="Arial Narrow"/>
          <w:sz w:val="21"/>
          <w:szCs w:val="21"/>
          <w:lang w:val="es-PE"/>
        </w:rPr>
        <w:t>.</w:t>
      </w:r>
    </w:p>
    <w:bookmarkEnd w:id="4"/>
    <w:p w14:paraId="4BA50465" w14:textId="1C65AD94" w:rsidR="00E955EF" w:rsidRDefault="002F57D2" w:rsidP="00E955EF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En marzo 2025 se inició la </w:t>
      </w:r>
      <w:r w:rsidR="00117981">
        <w:rPr>
          <w:rFonts w:ascii="Arial Narrow" w:hAnsi="Arial Narrow"/>
          <w:sz w:val="21"/>
          <w:szCs w:val="21"/>
          <w:lang w:val="es-PE"/>
        </w:rPr>
        <w:t xml:space="preserve">ejecución </w:t>
      </w:r>
      <w:r>
        <w:rPr>
          <w:rFonts w:ascii="Arial Narrow" w:hAnsi="Arial Narrow"/>
          <w:sz w:val="21"/>
          <w:szCs w:val="21"/>
          <w:lang w:val="es-PE"/>
        </w:rPr>
        <w:t xml:space="preserve">de los estudios de escenarios de riesgos por inundación en las provincias de Nazca y Lucanas, </w:t>
      </w:r>
      <w:r w:rsidR="00E955EF">
        <w:rPr>
          <w:rFonts w:ascii="Arial Narrow" w:hAnsi="Arial Narrow"/>
          <w:sz w:val="21"/>
          <w:szCs w:val="21"/>
          <w:lang w:val="es-PE"/>
        </w:rPr>
        <w:t>mediante la Orden de Servicio N° 00058-2025.</w:t>
      </w:r>
      <w:r>
        <w:rPr>
          <w:rFonts w:ascii="Arial Narrow" w:hAnsi="Arial Narrow"/>
          <w:sz w:val="21"/>
          <w:szCs w:val="21"/>
          <w:lang w:val="es-PE"/>
        </w:rPr>
        <w:t xml:space="preserve"> </w:t>
      </w:r>
      <w:r w:rsidR="00E955EF">
        <w:rPr>
          <w:rFonts w:ascii="Arial Narrow" w:hAnsi="Arial Narrow"/>
          <w:sz w:val="21"/>
          <w:szCs w:val="21"/>
          <w:lang w:val="es-PE"/>
        </w:rPr>
        <w:t>Este servicio será presentado en tres entregables:</w:t>
      </w:r>
    </w:p>
    <w:p w14:paraId="2BDC5B34" w14:textId="382DE737" w:rsidR="00E955EF" w:rsidRDefault="002F57D2" w:rsidP="00E955EF">
      <w:pPr>
        <w:pStyle w:val="Prrafodelista"/>
        <w:numPr>
          <w:ilvl w:val="0"/>
          <w:numId w:val="20"/>
        </w:numPr>
        <w:ind w:left="641" w:hanging="284"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Abril 2025: </w:t>
      </w:r>
      <w:r w:rsidR="00E955EF">
        <w:rPr>
          <w:rFonts w:ascii="Arial Narrow" w:hAnsi="Arial Narrow"/>
          <w:sz w:val="21"/>
          <w:szCs w:val="21"/>
          <w:lang w:val="es-PE"/>
        </w:rPr>
        <w:t>Primer entregable</w:t>
      </w:r>
      <w:r>
        <w:rPr>
          <w:rFonts w:ascii="Arial Narrow" w:hAnsi="Arial Narrow"/>
          <w:sz w:val="21"/>
          <w:szCs w:val="21"/>
          <w:lang w:val="es-PE"/>
        </w:rPr>
        <w:t>, correspondiente al p</w:t>
      </w:r>
      <w:r w:rsidR="00E955EF">
        <w:rPr>
          <w:rFonts w:ascii="Arial Narrow" w:hAnsi="Arial Narrow"/>
          <w:sz w:val="21"/>
          <w:szCs w:val="21"/>
          <w:lang w:val="es-PE"/>
        </w:rPr>
        <w:t>rocedimiento metodológico y la recopilación de información</w:t>
      </w:r>
      <w:r w:rsidR="001C7CA3">
        <w:rPr>
          <w:rFonts w:ascii="Arial Narrow" w:hAnsi="Arial Narrow"/>
          <w:sz w:val="21"/>
          <w:szCs w:val="21"/>
          <w:lang w:val="es-PE"/>
        </w:rPr>
        <w:t>.</w:t>
      </w:r>
    </w:p>
    <w:p w14:paraId="3FDC0F17" w14:textId="04BA7B60" w:rsidR="00E955EF" w:rsidRDefault="002F57D2" w:rsidP="00E955EF">
      <w:pPr>
        <w:pStyle w:val="Prrafodelista"/>
        <w:numPr>
          <w:ilvl w:val="0"/>
          <w:numId w:val="20"/>
        </w:numPr>
        <w:ind w:left="641" w:hanging="284"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Junio 2025: </w:t>
      </w:r>
      <w:r w:rsidR="00E955EF">
        <w:rPr>
          <w:rFonts w:ascii="Arial Narrow" w:hAnsi="Arial Narrow"/>
          <w:sz w:val="21"/>
          <w:szCs w:val="21"/>
          <w:lang w:val="es-PE"/>
        </w:rPr>
        <w:t>Segundo entregable</w:t>
      </w:r>
      <w:r>
        <w:rPr>
          <w:rFonts w:ascii="Arial Narrow" w:hAnsi="Arial Narrow"/>
          <w:sz w:val="21"/>
          <w:szCs w:val="21"/>
          <w:lang w:val="es-PE"/>
        </w:rPr>
        <w:t>, correspondiente a i</w:t>
      </w:r>
      <w:r w:rsidR="00E955EF" w:rsidRPr="00E955EF">
        <w:rPr>
          <w:rFonts w:ascii="Arial Narrow" w:hAnsi="Arial Narrow"/>
          <w:sz w:val="21"/>
          <w:szCs w:val="21"/>
          <w:lang w:val="es-PE"/>
        </w:rPr>
        <w:t>nforme del análisis de susceptibilidad a inundaciones de la cuenca del</w:t>
      </w:r>
      <w:r w:rsidR="00E955EF">
        <w:rPr>
          <w:rFonts w:ascii="Arial Narrow" w:hAnsi="Arial Narrow"/>
          <w:sz w:val="21"/>
          <w:szCs w:val="21"/>
          <w:lang w:val="es-PE"/>
        </w:rPr>
        <w:t xml:space="preserve"> </w:t>
      </w:r>
      <w:r w:rsidR="00E955EF" w:rsidRPr="00E955EF">
        <w:rPr>
          <w:rFonts w:ascii="Arial Narrow" w:hAnsi="Arial Narrow"/>
          <w:sz w:val="21"/>
          <w:szCs w:val="21"/>
          <w:lang w:val="es-PE"/>
        </w:rPr>
        <w:t>río Grande</w:t>
      </w:r>
      <w:r w:rsidR="00E955EF">
        <w:rPr>
          <w:rFonts w:ascii="Arial Narrow" w:hAnsi="Arial Narrow"/>
          <w:sz w:val="21"/>
          <w:szCs w:val="21"/>
          <w:lang w:val="es-PE"/>
        </w:rPr>
        <w:t>.</w:t>
      </w:r>
    </w:p>
    <w:p w14:paraId="169B7313" w14:textId="441EEC2D" w:rsidR="00E955EF" w:rsidRPr="00E955EF" w:rsidRDefault="002F57D2" w:rsidP="00E955EF">
      <w:pPr>
        <w:pStyle w:val="Prrafodelista"/>
        <w:numPr>
          <w:ilvl w:val="0"/>
          <w:numId w:val="20"/>
        </w:numPr>
        <w:ind w:left="641" w:hanging="284"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Julio 2025: </w:t>
      </w:r>
      <w:r w:rsidR="00E955EF">
        <w:rPr>
          <w:rFonts w:ascii="Arial Narrow" w:hAnsi="Arial Narrow"/>
          <w:sz w:val="21"/>
          <w:szCs w:val="21"/>
          <w:lang w:val="es-PE"/>
        </w:rPr>
        <w:t>Tercer entregable</w:t>
      </w:r>
      <w:r>
        <w:rPr>
          <w:rFonts w:ascii="Arial Narrow" w:hAnsi="Arial Narrow"/>
          <w:sz w:val="21"/>
          <w:szCs w:val="21"/>
          <w:lang w:val="es-PE"/>
        </w:rPr>
        <w:t>, correspondiente a al i</w:t>
      </w:r>
      <w:r w:rsidR="00E955EF" w:rsidRPr="00E955EF">
        <w:rPr>
          <w:rFonts w:ascii="Arial Narrow" w:hAnsi="Arial Narrow"/>
          <w:sz w:val="21"/>
          <w:szCs w:val="21"/>
          <w:lang w:val="es-PE"/>
        </w:rPr>
        <w:t>nforme de los escenarios de riesgo por inundación</w:t>
      </w:r>
      <w:r w:rsidR="00E955EF">
        <w:rPr>
          <w:rFonts w:ascii="Arial Narrow" w:hAnsi="Arial Narrow"/>
          <w:sz w:val="21"/>
          <w:szCs w:val="21"/>
          <w:lang w:val="es-PE"/>
        </w:rPr>
        <w:t xml:space="preserve"> en las provincias de Nazca y Lucanas.</w:t>
      </w:r>
    </w:p>
    <w:p w14:paraId="00E3C6D3" w14:textId="5EA0D11A" w:rsidR="002D32FD" w:rsidRDefault="00F24752" w:rsidP="006A1F92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En </w:t>
      </w:r>
      <w:r w:rsidR="001C7CA3">
        <w:rPr>
          <w:rFonts w:ascii="Arial Narrow" w:hAnsi="Arial Narrow"/>
          <w:sz w:val="21"/>
          <w:szCs w:val="21"/>
          <w:lang w:val="es-PE"/>
        </w:rPr>
        <w:t>abril 2025, se culmin</w:t>
      </w:r>
      <w:r>
        <w:rPr>
          <w:rFonts w:ascii="Arial Narrow" w:hAnsi="Arial Narrow"/>
          <w:sz w:val="21"/>
          <w:szCs w:val="21"/>
          <w:lang w:val="es-PE"/>
        </w:rPr>
        <w:t>ó</w:t>
      </w:r>
      <w:r w:rsidR="001C7CA3">
        <w:rPr>
          <w:rFonts w:ascii="Arial Narrow" w:hAnsi="Arial Narrow"/>
          <w:sz w:val="21"/>
          <w:szCs w:val="21"/>
          <w:lang w:val="es-PE"/>
        </w:rPr>
        <w:t xml:space="preserve"> el primer entregable</w:t>
      </w:r>
      <w:r w:rsidR="00134680">
        <w:rPr>
          <w:rFonts w:ascii="Arial Narrow" w:hAnsi="Arial Narrow"/>
          <w:sz w:val="21"/>
          <w:szCs w:val="21"/>
          <w:lang w:val="es-PE"/>
        </w:rPr>
        <w:t xml:space="preserve"> que comprende ambos estudios de escenarios de riesgo</w:t>
      </w:r>
      <w:r>
        <w:rPr>
          <w:rFonts w:ascii="Arial Narrow" w:hAnsi="Arial Narrow"/>
          <w:sz w:val="21"/>
          <w:szCs w:val="21"/>
          <w:lang w:val="es-PE"/>
        </w:rPr>
        <w:t xml:space="preserve">, lo que representa </w:t>
      </w:r>
      <w:r w:rsidR="001C7CA3">
        <w:rPr>
          <w:rFonts w:ascii="Arial Narrow" w:hAnsi="Arial Narrow"/>
          <w:sz w:val="21"/>
          <w:szCs w:val="21"/>
          <w:lang w:val="es-PE"/>
        </w:rPr>
        <w:t xml:space="preserve">el 30% de avance del </w:t>
      </w:r>
      <w:r>
        <w:rPr>
          <w:rFonts w:ascii="Arial Narrow" w:hAnsi="Arial Narrow"/>
          <w:sz w:val="21"/>
          <w:szCs w:val="21"/>
          <w:lang w:val="es-PE"/>
        </w:rPr>
        <w:t>total del servicio</w:t>
      </w:r>
      <w:r w:rsidR="006A32A0">
        <w:rPr>
          <w:rFonts w:ascii="Arial Narrow" w:hAnsi="Arial Narrow"/>
          <w:sz w:val="21"/>
          <w:szCs w:val="21"/>
          <w:lang w:val="es-PE"/>
        </w:rPr>
        <w:t xml:space="preserve"> de </w:t>
      </w:r>
      <w:r w:rsidR="0040662A">
        <w:rPr>
          <w:rFonts w:ascii="Arial Narrow" w:hAnsi="Arial Narrow"/>
          <w:sz w:val="21"/>
          <w:szCs w:val="21"/>
          <w:lang w:val="es-PE"/>
        </w:rPr>
        <w:t xml:space="preserve">esta </w:t>
      </w:r>
      <w:r w:rsidR="006A32A0">
        <w:rPr>
          <w:rFonts w:ascii="Arial Narrow" w:hAnsi="Arial Narrow"/>
          <w:sz w:val="21"/>
          <w:szCs w:val="21"/>
          <w:lang w:val="es-PE"/>
        </w:rPr>
        <w:t>actividad.</w:t>
      </w:r>
    </w:p>
    <w:p w14:paraId="2FDF0EB3" w14:textId="5775561F" w:rsidR="00D70A5C" w:rsidRDefault="00D70A5C" w:rsidP="00D70A5C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372C8A">
        <w:rPr>
          <w:rFonts w:ascii="Arial Narrow" w:hAnsi="Arial Narrow"/>
          <w:sz w:val="21"/>
          <w:szCs w:val="21"/>
          <w:lang w:val="es-PE"/>
        </w:rPr>
        <w:t>E</w:t>
      </w:r>
      <w:r w:rsidR="003B5C8E">
        <w:rPr>
          <w:rFonts w:ascii="Arial Narrow" w:hAnsi="Arial Narrow"/>
          <w:sz w:val="21"/>
          <w:szCs w:val="21"/>
          <w:lang w:val="es-PE"/>
        </w:rPr>
        <w:t xml:space="preserve">n mayo </w:t>
      </w:r>
      <w:r w:rsidRPr="00372C8A">
        <w:rPr>
          <w:rFonts w:ascii="Arial Narrow" w:hAnsi="Arial Narrow"/>
          <w:sz w:val="21"/>
          <w:szCs w:val="21"/>
          <w:lang w:val="es-PE"/>
        </w:rPr>
        <w:t xml:space="preserve">2025, se recepcionó el segundo entregable correspondiente al "Informe del análisis de susceptibilidad a inundaciones de la cuenca del río Grande (Ica- Ayacucho)", que </w:t>
      </w:r>
      <w:r w:rsidR="00856D6C">
        <w:rPr>
          <w:rFonts w:ascii="Arial Narrow" w:hAnsi="Arial Narrow"/>
          <w:sz w:val="21"/>
          <w:szCs w:val="21"/>
          <w:lang w:val="es-PE"/>
        </w:rPr>
        <w:t xml:space="preserve">comprende </w:t>
      </w:r>
      <w:r w:rsidRPr="00372C8A">
        <w:rPr>
          <w:rFonts w:ascii="Arial Narrow" w:hAnsi="Arial Narrow"/>
          <w:sz w:val="21"/>
          <w:szCs w:val="21"/>
          <w:lang w:val="es-PE"/>
        </w:rPr>
        <w:t>ambos estudios. Su revisión y culminación se programó para junio de 2025</w:t>
      </w:r>
      <w:r>
        <w:rPr>
          <w:rFonts w:ascii="Arial Narrow" w:hAnsi="Arial Narrow"/>
          <w:sz w:val="21"/>
          <w:szCs w:val="21"/>
          <w:lang w:val="es-PE"/>
        </w:rPr>
        <w:t xml:space="preserve">; por esta razón, la meta física </w:t>
      </w:r>
      <w:r w:rsidR="00856D6C">
        <w:rPr>
          <w:rFonts w:ascii="Arial Narrow" w:hAnsi="Arial Narrow"/>
          <w:sz w:val="21"/>
          <w:szCs w:val="21"/>
          <w:lang w:val="es-PE"/>
        </w:rPr>
        <w:t xml:space="preserve">para mayo 2025 </w:t>
      </w:r>
      <w:r>
        <w:rPr>
          <w:rFonts w:ascii="Arial Narrow" w:hAnsi="Arial Narrow"/>
          <w:sz w:val="21"/>
          <w:szCs w:val="21"/>
          <w:lang w:val="es-PE"/>
        </w:rPr>
        <w:t>se mantiene en un 30% de avance</w:t>
      </w:r>
      <w:r w:rsidR="00856D6C">
        <w:rPr>
          <w:rFonts w:ascii="Arial Narrow" w:hAnsi="Arial Narrow"/>
          <w:sz w:val="21"/>
          <w:szCs w:val="21"/>
          <w:lang w:val="es-PE"/>
        </w:rPr>
        <w:t xml:space="preserve">, según </w:t>
      </w:r>
      <w:r w:rsidRPr="00372C8A">
        <w:rPr>
          <w:rFonts w:ascii="Arial Narrow" w:hAnsi="Arial Narrow"/>
          <w:sz w:val="21"/>
          <w:szCs w:val="21"/>
          <w:lang w:val="es-PE"/>
        </w:rPr>
        <w:t>programado.</w:t>
      </w:r>
    </w:p>
    <w:p w14:paraId="1DE90615" w14:textId="111101EC" w:rsidR="003B5C8E" w:rsidRDefault="003B5C8E" w:rsidP="003B5C8E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En junio 2025</w:t>
      </w:r>
      <w:r w:rsidRPr="0065440E">
        <w:rPr>
          <w:rFonts w:ascii="Arial Narrow" w:hAnsi="Arial Narrow"/>
          <w:sz w:val="21"/>
          <w:szCs w:val="21"/>
          <w:lang w:val="es-PE"/>
        </w:rPr>
        <w:t xml:space="preserve">, </w:t>
      </w:r>
      <w:r>
        <w:rPr>
          <w:rFonts w:ascii="Arial Narrow" w:hAnsi="Arial Narrow"/>
          <w:sz w:val="21"/>
          <w:szCs w:val="21"/>
          <w:lang w:val="es-PE"/>
        </w:rPr>
        <w:t xml:space="preserve">se culminó </w:t>
      </w:r>
      <w:r w:rsidRPr="0065440E">
        <w:rPr>
          <w:rFonts w:ascii="Arial Narrow" w:hAnsi="Arial Narrow"/>
          <w:sz w:val="21"/>
          <w:szCs w:val="21"/>
          <w:lang w:val="es-PE"/>
        </w:rPr>
        <w:t>el segundo entregable correspondiente al "Informe del análisis de susceptibilidad a</w:t>
      </w:r>
      <w:r w:rsidRPr="00372C8A">
        <w:rPr>
          <w:rFonts w:ascii="Arial Narrow" w:hAnsi="Arial Narrow"/>
          <w:sz w:val="21"/>
          <w:szCs w:val="21"/>
          <w:lang w:val="es-PE"/>
        </w:rPr>
        <w:t xml:space="preserve"> inundaciones de la cuenca del río Grande (Ica- Ayacucho)"</w:t>
      </w:r>
      <w:r>
        <w:rPr>
          <w:rFonts w:ascii="Arial Narrow" w:hAnsi="Arial Narrow"/>
          <w:sz w:val="21"/>
          <w:szCs w:val="21"/>
          <w:lang w:val="es-PE"/>
        </w:rPr>
        <w:t>, lo cual representa el 60% de avance de la meta física. Este resultado se aplicará en la elaboración de los estudios de escenarios de riesgos por inundaciones para las provincias de Nasca (Ica) y Lucanas (Ayacucho)</w:t>
      </w:r>
      <w:r w:rsidRPr="00372C8A">
        <w:rPr>
          <w:rFonts w:ascii="Arial Narrow" w:hAnsi="Arial Narrow"/>
          <w:sz w:val="21"/>
          <w:szCs w:val="21"/>
          <w:lang w:val="es-PE"/>
        </w:rPr>
        <w:t>.</w:t>
      </w:r>
    </w:p>
    <w:p w14:paraId="31139F4D" w14:textId="61FC483B" w:rsidR="00722E8A" w:rsidRDefault="00722E8A" w:rsidP="00722E8A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En julio 2025, </w:t>
      </w:r>
      <w:r w:rsidR="001D5FA9">
        <w:rPr>
          <w:rFonts w:ascii="Arial Narrow" w:hAnsi="Arial Narrow"/>
          <w:sz w:val="21"/>
          <w:szCs w:val="21"/>
          <w:lang w:val="es-PE"/>
        </w:rPr>
        <w:t xml:space="preserve">de acuerdo a lo programado, </w:t>
      </w:r>
      <w:r>
        <w:rPr>
          <w:rFonts w:ascii="Arial Narrow" w:hAnsi="Arial Narrow"/>
          <w:sz w:val="21"/>
          <w:szCs w:val="21"/>
          <w:lang w:val="es-PE"/>
        </w:rPr>
        <w:t xml:space="preserve">se </w:t>
      </w:r>
      <w:r w:rsidR="001D5FA9">
        <w:rPr>
          <w:rFonts w:ascii="Arial Narrow" w:hAnsi="Arial Narrow"/>
          <w:sz w:val="21"/>
          <w:szCs w:val="21"/>
          <w:lang w:val="es-PE"/>
        </w:rPr>
        <w:t xml:space="preserve">ejecutó al 100% la ejecución física de las actividades programadas con la culminación de </w:t>
      </w:r>
      <w:r>
        <w:rPr>
          <w:rFonts w:ascii="Arial Narrow" w:hAnsi="Arial Narrow"/>
          <w:sz w:val="21"/>
          <w:szCs w:val="21"/>
          <w:lang w:val="es-PE"/>
        </w:rPr>
        <w:t>los dos (02) estudios comprendidos en el ámbito de la cuenca del río Grande, correspondientes a:</w:t>
      </w:r>
    </w:p>
    <w:p w14:paraId="58D32144" w14:textId="77777777" w:rsidR="00722E8A" w:rsidRDefault="00722E8A" w:rsidP="00722E8A">
      <w:pPr>
        <w:pStyle w:val="Prrafodelista"/>
        <w:numPr>
          <w:ilvl w:val="0"/>
          <w:numId w:val="21"/>
        </w:numPr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</w:t>
      </w:r>
      <w:r w:rsidRPr="00FB730B">
        <w:rPr>
          <w:rFonts w:ascii="Arial Narrow" w:hAnsi="Arial Narrow"/>
          <w:sz w:val="21"/>
          <w:szCs w:val="21"/>
          <w:lang w:val="es-PE"/>
        </w:rPr>
        <w:t>scenario de riesgo por inundación en la provincia de Nazca, departamento de Ica</w:t>
      </w:r>
      <w:r>
        <w:rPr>
          <w:rFonts w:ascii="Arial Narrow" w:hAnsi="Arial Narrow"/>
          <w:sz w:val="21"/>
          <w:szCs w:val="21"/>
          <w:lang w:val="es-PE"/>
        </w:rPr>
        <w:t>.</w:t>
      </w:r>
    </w:p>
    <w:p w14:paraId="36B014CE" w14:textId="77777777" w:rsidR="00722E8A" w:rsidRPr="00FB730B" w:rsidRDefault="00722E8A" w:rsidP="00722E8A">
      <w:pPr>
        <w:pStyle w:val="Prrafodelista"/>
        <w:numPr>
          <w:ilvl w:val="0"/>
          <w:numId w:val="21"/>
        </w:numPr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</w:t>
      </w:r>
      <w:r w:rsidRPr="00FB730B">
        <w:rPr>
          <w:rFonts w:ascii="Arial Narrow" w:hAnsi="Arial Narrow"/>
          <w:sz w:val="21"/>
          <w:szCs w:val="21"/>
          <w:lang w:val="es-PE"/>
        </w:rPr>
        <w:t xml:space="preserve">scenario de riesgo por inundación en la provincia de </w:t>
      </w:r>
      <w:r>
        <w:rPr>
          <w:rFonts w:ascii="Arial Narrow" w:hAnsi="Arial Narrow"/>
          <w:sz w:val="21"/>
          <w:szCs w:val="21"/>
          <w:lang w:val="es-PE"/>
        </w:rPr>
        <w:t>Lucanas</w:t>
      </w:r>
      <w:r w:rsidRPr="00FB730B">
        <w:rPr>
          <w:rFonts w:ascii="Arial Narrow" w:hAnsi="Arial Narrow"/>
          <w:sz w:val="21"/>
          <w:szCs w:val="21"/>
          <w:lang w:val="es-PE"/>
        </w:rPr>
        <w:t xml:space="preserve">, departamento de </w:t>
      </w:r>
      <w:r>
        <w:rPr>
          <w:rFonts w:ascii="Arial Narrow" w:hAnsi="Arial Narrow"/>
          <w:sz w:val="21"/>
          <w:szCs w:val="21"/>
          <w:lang w:val="es-PE"/>
        </w:rPr>
        <w:t>Ayacucho.</w:t>
      </w:r>
    </w:p>
    <w:p w14:paraId="732683D7" w14:textId="1C1AFA48" w:rsidR="00722E8A" w:rsidRDefault="00722E8A" w:rsidP="003B5C8E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0BBFA9A9" w14:textId="34CC5C16" w:rsidR="006A1F92" w:rsidRPr="00E955EF" w:rsidRDefault="000A1A3F" w:rsidP="006A1F92">
      <w:pPr>
        <w:numPr>
          <w:ilvl w:val="1"/>
          <w:numId w:val="13"/>
        </w:numPr>
        <w:ind w:left="426" w:hanging="426"/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Anál</w:t>
      </w:r>
      <w:r w:rsidR="00C13D8B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i</w:t>
      </w: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sis de la ejecución </w:t>
      </w:r>
      <w:r w:rsidR="00276ECF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financiera a </w:t>
      </w:r>
      <w:r w:rsidR="001D5FA9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julio</w:t>
      </w:r>
      <w:r w:rsidR="00117981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 </w:t>
      </w:r>
      <w:r w:rsidR="00EC1550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del </w:t>
      </w:r>
      <w:r w:rsidR="006A1F92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2025</w:t>
      </w:r>
    </w:p>
    <w:p w14:paraId="6342E93E" w14:textId="47B922C2" w:rsidR="002D32FD" w:rsidRPr="00243AF2" w:rsidRDefault="002D32FD" w:rsidP="002D32FD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bookmarkStart w:id="5" w:name="_Hlk192786604"/>
      <w:r w:rsidRPr="00243AF2">
        <w:rPr>
          <w:rFonts w:ascii="Arial Narrow" w:hAnsi="Arial Narrow"/>
          <w:sz w:val="21"/>
          <w:szCs w:val="21"/>
          <w:lang w:val="es-PE"/>
        </w:rPr>
        <w:t xml:space="preserve">La ejecución financiera 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programada para el año 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2025 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asciende </w:t>
      </w:r>
      <w:r w:rsidR="00851002">
        <w:rPr>
          <w:rFonts w:ascii="Arial Narrow" w:hAnsi="Arial Narrow"/>
          <w:sz w:val="21"/>
          <w:szCs w:val="21"/>
          <w:lang w:val="es-PE"/>
        </w:rPr>
        <w:t>a S/. 30 000 nuevos soles</w:t>
      </w:r>
      <w:r w:rsidR="00486227">
        <w:rPr>
          <w:rFonts w:ascii="Arial Narrow" w:hAnsi="Arial Narrow"/>
          <w:sz w:val="21"/>
          <w:szCs w:val="21"/>
          <w:lang w:val="es-PE"/>
        </w:rPr>
        <w:t xml:space="preserve">, </w:t>
      </w:r>
      <w:r w:rsidR="00E955EF">
        <w:rPr>
          <w:rFonts w:ascii="Arial Narrow" w:hAnsi="Arial Narrow"/>
          <w:sz w:val="21"/>
          <w:szCs w:val="21"/>
          <w:lang w:val="es-PE"/>
        </w:rPr>
        <w:t>programad</w:t>
      </w:r>
      <w:r w:rsidR="00B951C9">
        <w:rPr>
          <w:rFonts w:ascii="Arial Narrow" w:hAnsi="Arial Narrow"/>
          <w:sz w:val="21"/>
          <w:szCs w:val="21"/>
          <w:lang w:val="es-PE"/>
        </w:rPr>
        <w:t>a</w:t>
      </w:r>
      <w:r w:rsidR="00E955EF">
        <w:rPr>
          <w:rFonts w:ascii="Arial Narrow" w:hAnsi="Arial Narrow"/>
          <w:sz w:val="21"/>
          <w:szCs w:val="21"/>
          <w:lang w:val="es-PE"/>
        </w:rPr>
        <w:t xml:space="preserve"> </w:t>
      </w:r>
      <w:r w:rsidR="00486227">
        <w:rPr>
          <w:rFonts w:ascii="Arial Narrow" w:hAnsi="Arial Narrow"/>
          <w:sz w:val="21"/>
          <w:szCs w:val="21"/>
          <w:lang w:val="es-PE"/>
        </w:rPr>
        <w:t xml:space="preserve">entre </w:t>
      </w:r>
      <w:r w:rsidR="00E955EF">
        <w:rPr>
          <w:rFonts w:ascii="Arial Narrow" w:hAnsi="Arial Narrow"/>
          <w:sz w:val="21"/>
          <w:szCs w:val="21"/>
          <w:lang w:val="es-PE"/>
        </w:rPr>
        <w:t>mayo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 </w:t>
      </w:r>
      <w:r w:rsidR="00486227">
        <w:rPr>
          <w:rFonts w:ascii="Arial Narrow" w:hAnsi="Arial Narrow"/>
          <w:sz w:val="21"/>
          <w:szCs w:val="21"/>
          <w:lang w:val="es-PE"/>
        </w:rPr>
        <w:t xml:space="preserve">y </w:t>
      </w:r>
      <w:r w:rsidR="00E955EF">
        <w:rPr>
          <w:rFonts w:ascii="Arial Narrow" w:hAnsi="Arial Narrow"/>
          <w:sz w:val="21"/>
          <w:szCs w:val="21"/>
          <w:lang w:val="es-PE"/>
        </w:rPr>
        <w:t>agosto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 del 2025, 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con financiamiento proveniente de </w:t>
      </w:r>
      <w:r w:rsidR="006B39EF">
        <w:rPr>
          <w:rFonts w:ascii="Arial Narrow" w:hAnsi="Arial Narrow"/>
          <w:sz w:val="21"/>
          <w:szCs w:val="21"/>
          <w:lang w:val="es-PE"/>
        </w:rPr>
        <w:t xml:space="preserve">los 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recursos </w:t>
      </w:r>
      <w:r w:rsidR="006B39EF">
        <w:rPr>
          <w:rFonts w:ascii="Arial Narrow" w:hAnsi="Arial Narrow"/>
          <w:sz w:val="21"/>
          <w:szCs w:val="21"/>
          <w:lang w:val="es-PE"/>
        </w:rPr>
        <w:t>propios del CENEPRED</w:t>
      </w:r>
      <w:r w:rsidR="00851002">
        <w:rPr>
          <w:rFonts w:ascii="Arial Narrow" w:hAnsi="Arial Narrow"/>
          <w:sz w:val="21"/>
          <w:szCs w:val="21"/>
          <w:lang w:val="es-PE"/>
        </w:rPr>
        <w:t xml:space="preserve">. </w:t>
      </w:r>
      <w:bookmarkEnd w:id="5"/>
      <w:r w:rsidR="00851002">
        <w:rPr>
          <w:rFonts w:ascii="Arial Narrow" w:hAnsi="Arial Narrow"/>
          <w:sz w:val="21"/>
          <w:szCs w:val="21"/>
          <w:lang w:val="es-PE"/>
        </w:rPr>
        <w:t xml:space="preserve"> </w:t>
      </w:r>
    </w:p>
    <w:p w14:paraId="64C44678" w14:textId="46CC5D99" w:rsidR="00E955EF" w:rsidRPr="002C5F4F" w:rsidRDefault="00915DA7" w:rsidP="00E955EF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2C5F4F">
        <w:rPr>
          <w:rFonts w:ascii="Arial Narrow" w:hAnsi="Arial Narrow"/>
          <w:sz w:val="21"/>
          <w:szCs w:val="21"/>
          <w:lang w:val="es-PE"/>
        </w:rPr>
        <w:t xml:space="preserve">Esta ejecución financiera se realizará 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tras </w:t>
      </w:r>
      <w:r w:rsidRPr="002C5F4F">
        <w:rPr>
          <w:rFonts w:ascii="Arial Narrow" w:hAnsi="Arial Narrow"/>
          <w:sz w:val="21"/>
          <w:szCs w:val="21"/>
          <w:lang w:val="es-PE"/>
        </w:rPr>
        <w:t xml:space="preserve">la conformidad de los entregables, </w:t>
      </w:r>
      <w:r w:rsidR="00E955EF" w:rsidRPr="002C5F4F">
        <w:rPr>
          <w:rFonts w:ascii="Arial Narrow" w:hAnsi="Arial Narrow"/>
          <w:sz w:val="21"/>
          <w:szCs w:val="21"/>
          <w:lang w:val="es-PE"/>
        </w:rPr>
        <w:t>según el siguiente detalle:</w:t>
      </w:r>
    </w:p>
    <w:p w14:paraId="4F3397D1" w14:textId="459A71A2" w:rsidR="00915DA7" w:rsidRPr="002C5F4F" w:rsidRDefault="00915DA7" w:rsidP="00372CF0">
      <w:pPr>
        <w:pStyle w:val="Prrafodelista"/>
        <w:numPr>
          <w:ilvl w:val="0"/>
          <w:numId w:val="20"/>
        </w:numPr>
        <w:jc w:val="both"/>
        <w:rPr>
          <w:rFonts w:ascii="Arial Narrow" w:hAnsi="Arial Narrow"/>
          <w:sz w:val="21"/>
          <w:szCs w:val="21"/>
          <w:lang w:val="es-PE"/>
        </w:rPr>
      </w:pPr>
      <w:r w:rsidRPr="002C5F4F">
        <w:rPr>
          <w:rFonts w:ascii="Arial Narrow" w:hAnsi="Arial Narrow"/>
          <w:sz w:val="21"/>
          <w:szCs w:val="21"/>
          <w:lang w:val="es-PE"/>
        </w:rPr>
        <w:t>Mayo 2025: S/. 9</w:t>
      </w:r>
      <w:r w:rsidR="009A79E0">
        <w:rPr>
          <w:rFonts w:ascii="Arial Narrow" w:hAnsi="Arial Narrow"/>
          <w:sz w:val="21"/>
          <w:szCs w:val="21"/>
          <w:lang w:val="es-PE"/>
        </w:rPr>
        <w:t xml:space="preserve"> </w:t>
      </w:r>
      <w:r w:rsidRPr="002C5F4F">
        <w:rPr>
          <w:rFonts w:ascii="Arial Narrow" w:hAnsi="Arial Narrow"/>
          <w:sz w:val="21"/>
          <w:szCs w:val="21"/>
          <w:lang w:val="es-PE"/>
        </w:rPr>
        <w:t>000</w:t>
      </w:r>
      <w:r w:rsidR="00E955EF" w:rsidRPr="002C5F4F">
        <w:rPr>
          <w:rFonts w:ascii="Arial Narrow" w:hAnsi="Arial Narrow"/>
          <w:sz w:val="21"/>
          <w:szCs w:val="21"/>
          <w:lang w:val="es-PE"/>
        </w:rPr>
        <w:t xml:space="preserve"> </w:t>
      </w:r>
      <w:r w:rsidRPr="002C5F4F">
        <w:rPr>
          <w:rFonts w:ascii="Arial Narrow" w:hAnsi="Arial Narrow"/>
          <w:sz w:val="21"/>
          <w:szCs w:val="21"/>
          <w:lang w:val="es-PE"/>
        </w:rPr>
        <w:t>nuevos soles</w:t>
      </w:r>
      <w:r w:rsidR="00E955EF" w:rsidRPr="002C5F4F">
        <w:rPr>
          <w:rFonts w:ascii="Arial Narrow" w:hAnsi="Arial Narrow"/>
          <w:sz w:val="21"/>
          <w:szCs w:val="21"/>
          <w:lang w:val="es-PE"/>
        </w:rPr>
        <w:t>, a la conformidad del primer entregable.</w:t>
      </w:r>
    </w:p>
    <w:p w14:paraId="0B463E03" w14:textId="77777777" w:rsidR="00915DA7" w:rsidRPr="002C5F4F" w:rsidRDefault="00915DA7" w:rsidP="00A66194">
      <w:pPr>
        <w:pStyle w:val="Prrafodelista"/>
        <w:numPr>
          <w:ilvl w:val="0"/>
          <w:numId w:val="20"/>
        </w:numPr>
        <w:jc w:val="both"/>
        <w:rPr>
          <w:rFonts w:ascii="Arial Narrow" w:hAnsi="Arial Narrow"/>
          <w:sz w:val="21"/>
          <w:szCs w:val="21"/>
          <w:lang w:val="es-PE"/>
        </w:rPr>
      </w:pPr>
      <w:r w:rsidRPr="002C5F4F">
        <w:rPr>
          <w:rFonts w:ascii="Arial Narrow" w:hAnsi="Arial Narrow"/>
          <w:sz w:val="21"/>
          <w:szCs w:val="21"/>
          <w:lang w:val="es-PE"/>
        </w:rPr>
        <w:t xml:space="preserve">Julio 2025: S/. 10 500 nuevos soles, </w:t>
      </w:r>
      <w:r w:rsidR="00E955EF" w:rsidRPr="002C5F4F">
        <w:rPr>
          <w:rFonts w:ascii="Arial Narrow" w:hAnsi="Arial Narrow"/>
          <w:sz w:val="21"/>
          <w:szCs w:val="21"/>
          <w:lang w:val="es-PE"/>
        </w:rPr>
        <w:t>a la conformidad del segundo entregable.</w:t>
      </w:r>
    </w:p>
    <w:p w14:paraId="51BED17D" w14:textId="57DBADE4" w:rsidR="00E955EF" w:rsidRPr="002C5F4F" w:rsidRDefault="00915DA7" w:rsidP="00A66194">
      <w:pPr>
        <w:pStyle w:val="Prrafodelista"/>
        <w:numPr>
          <w:ilvl w:val="0"/>
          <w:numId w:val="20"/>
        </w:numPr>
        <w:jc w:val="both"/>
        <w:rPr>
          <w:rFonts w:ascii="Arial Narrow" w:hAnsi="Arial Narrow"/>
          <w:sz w:val="21"/>
          <w:szCs w:val="21"/>
          <w:lang w:val="es-PE"/>
        </w:rPr>
      </w:pPr>
      <w:r w:rsidRPr="002C5F4F">
        <w:rPr>
          <w:rFonts w:ascii="Arial Narrow" w:hAnsi="Arial Narrow"/>
          <w:sz w:val="21"/>
          <w:szCs w:val="21"/>
          <w:lang w:val="es-PE"/>
        </w:rPr>
        <w:t>Agosto 2025: S/. 10 500 nuevos soles</w:t>
      </w:r>
      <w:r w:rsidR="00E955EF" w:rsidRPr="002C5F4F">
        <w:rPr>
          <w:rFonts w:ascii="Arial Narrow" w:hAnsi="Arial Narrow"/>
          <w:sz w:val="21"/>
          <w:szCs w:val="21"/>
          <w:lang w:val="es-PE"/>
        </w:rPr>
        <w:t>, a la conformidad del tercer entregable.</w:t>
      </w:r>
    </w:p>
    <w:p w14:paraId="3F606685" w14:textId="0E659C53" w:rsidR="002C5F4F" w:rsidRDefault="00FF2836" w:rsidP="00E955EF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FF2836">
        <w:rPr>
          <w:rFonts w:ascii="Arial Narrow" w:hAnsi="Arial Narrow"/>
          <w:sz w:val="21"/>
          <w:szCs w:val="21"/>
          <w:lang w:val="es-PE"/>
        </w:rPr>
        <w:t>E</w:t>
      </w:r>
      <w:r w:rsidR="009A79E0">
        <w:rPr>
          <w:rFonts w:ascii="Arial Narrow" w:hAnsi="Arial Narrow"/>
          <w:sz w:val="21"/>
          <w:szCs w:val="21"/>
          <w:lang w:val="es-PE"/>
        </w:rPr>
        <w:t xml:space="preserve">n abril </w:t>
      </w:r>
      <w:r w:rsidRPr="00FF2836">
        <w:rPr>
          <w:rFonts w:ascii="Arial Narrow" w:hAnsi="Arial Narrow"/>
          <w:sz w:val="21"/>
          <w:szCs w:val="21"/>
          <w:lang w:val="es-PE"/>
        </w:rPr>
        <w:t>2025 se devengó el monto de S/. 9</w:t>
      </w:r>
      <w:r w:rsidR="009A79E0">
        <w:rPr>
          <w:rFonts w:ascii="Arial Narrow" w:hAnsi="Arial Narrow"/>
          <w:sz w:val="21"/>
          <w:szCs w:val="21"/>
          <w:lang w:val="es-PE"/>
        </w:rPr>
        <w:t xml:space="preserve"> </w:t>
      </w:r>
      <w:r w:rsidRPr="00FF2836">
        <w:rPr>
          <w:rFonts w:ascii="Arial Narrow" w:hAnsi="Arial Narrow"/>
          <w:sz w:val="21"/>
          <w:szCs w:val="21"/>
          <w:lang w:val="es-PE"/>
        </w:rPr>
        <w:t>000 nuevos soles</w:t>
      </w:r>
      <w:r w:rsidR="00367B80">
        <w:rPr>
          <w:rFonts w:ascii="Arial Narrow" w:hAnsi="Arial Narrow"/>
          <w:sz w:val="21"/>
          <w:szCs w:val="21"/>
          <w:lang w:val="es-PE"/>
        </w:rPr>
        <w:t xml:space="preserve"> correspondiente al primer entregable</w:t>
      </w:r>
      <w:bookmarkStart w:id="6" w:name="_Hlk200624197"/>
      <w:r w:rsidRPr="00FF2836">
        <w:rPr>
          <w:rFonts w:ascii="Arial Narrow" w:hAnsi="Arial Narrow"/>
          <w:sz w:val="21"/>
          <w:szCs w:val="21"/>
          <w:lang w:val="es-PE"/>
        </w:rPr>
        <w:t xml:space="preserve">, </w:t>
      </w:r>
      <w:r w:rsidR="00387ADC">
        <w:rPr>
          <w:rFonts w:ascii="Arial Narrow" w:hAnsi="Arial Narrow"/>
          <w:sz w:val="21"/>
          <w:szCs w:val="21"/>
          <w:lang w:val="es-PE"/>
        </w:rPr>
        <w:t xml:space="preserve">el </w:t>
      </w:r>
      <w:r w:rsidRPr="00FF2836">
        <w:rPr>
          <w:rFonts w:ascii="Arial Narrow" w:hAnsi="Arial Narrow"/>
          <w:sz w:val="21"/>
          <w:szCs w:val="21"/>
          <w:lang w:val="es-PE"/>
        </w:rPr>
        <w:t>cual estaba programad</w:t>
      </w:r>
      <w:r w:rsidR="0053633B">
        <w:rPr>
          <w:rFonts w:ascii="Arial Narrow" w:hAnsi="Arial Narrow"/>
          <w:sz w:val="21"/>
          <w:szCs w:val="21"/>
          <w:lang w:val="es-PE"/>
        </w:rPr>
        <w:t>o</w:t>
      </w:r>
      <w:r w:rsidRPr="00FF2836">
        <w:rPr>
          <w:rFonts w:ascii="Arial Narrow" w:hAnsi="Arial Narrow"/>
          <w:sz w:val="21"/>
          <w:szCs w:val="21"/>
          <w:lang w:val="es-PE"/>
        </w:rPr>
        <w:t xml:space="preserve"> para mayo 2025.</w:t>
      </w:r>
      <w:bookmarkEnd w:id="6"/>
      <w:r w:rsidRPr="00FF2836">
        <w:rPr>
          <w:rFonts w:ascii="Arial Narrow" w:hAnsi="Arial Narrow"/>
          <w:sz w:val="21"/>
          <w:szCs w:val="21"/>
          <w:lang w:val="es-PE"/>
        </w:rPr>
        <w:t xml:space="preserve"> </w:t>
      </w:r>
      <w:bookmarkStart w:id="7" w:name="_Hlk200624218"/>
      <w:r w:rsidRPr="00FF2836">
        <w:rPr>
          <w:rFonts w:ascii="Arial Narrow" w:hAnsi="Arial Narrow"/>
          <w:sz w:val="21"/>
          <w:szCs w:val="21"/>
          <w:lang w:val="es-PE"/>
        </w:rPr>
        <w:t xml:space="preserve">Esto representa el 30% de avance del total de la ejecución financiera,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cumpliendo con </w:t>
      </w:r>
      <w:r w:rsidRPr="00FF2836">
        <w:rPr>
          <w:rFonts w:ascii="Arial Narrow" w:hAnsi="Arial Narrow"/>
          <w:sz w:val="21"/>
          <w:szCs w:val="21"/>
          <w:lang w:val="es-PE"/>
        </w:rPr>
        <w:t>lo programado.</w:t>
      </w:r>
      <w:bookmarkEnd w:id="7"/>
    </w:p>
    <w:p w14:paraId="6E9256C5" w14:textId="6CAA8DF7" w:rsidR="00FF2836" w:rsidRDefault="00895D72" w:rsidP="00FF283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bookmarkStart w:id="8" w:name="_Hlk200624389"/>
      <w:bookmarkStart w:id="9" w:name="_Hlk200624238"/>
      <w:r w:rsidRPr="00FF2836">
        <w:rPr>
          <w:rFonts w:ascii="Arial Narrow" w:hAnsi="Arial Narrow"/>
          <w:sz w:val="21"/>
          <w:szCs w:val="21"/>
          <w:lang w:val="es-PE"/>
        </w:rPr>
        <w:t>En mayo 2025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 </w:t>
      </w:r>
      <w:r w:rsidRPr="00FF2836">
        <w:rPr>
          <w:rFonts w:ascii="Arial Narrow" w:hAnsi="Arial Narrow"/>
          <w:sz w:val="21"/>
          <w:szCs w:val="21"/>
          <w:lang w:val="es-PE"/>
        </w:rPr>
        <w:t xml:space="preserve">no se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registró </w:t>
      </w:r>
      <w:r w:rsidRPr="00FF2836">
        <w:rPr>
          <w:rFonts w:ascii="Arial Narrow" w:hAnsi="Arial Narrow"/>
          <w:sz w:val="21"/>
          <w:szCs w:val="21"/>
          <w:lang w:val="es-PE"/>
        </w:rPr>
        <w:t>devengado</w:t>
      </w:r>
      <w:r w:rsidR="00111190">
        <w:rPr>
          <w:rFonts w:ascii="Arial Narrow" w:hAnsi="Arial Narrow"/>
          <w:sz w:val="21"/>
          <w:szCs w:val="21"/>
          <w:lang w:val="es-PE"/>
        </w:rPr>
        <w:t>,</w:t>
      </w:r>
      <w:r>
        <w:rPr>
          <w:rFonts w:ascii="Arial Narrow" w:hAnsi="Arial Narrow"/>
          <w:sz w:val="21"/>
          <w:szCs w:val="21"/>
          <w:lang w:val="es-PE"/>
        </w:rPr>
        <w:t xml:space="preserve">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ya </w:t>
      </w:r>
      <w:r>
        <w:rPr>
          <w:rFonts w:ascii="Arial Narrow" w:hAnsi="Arial Narrow"/>
          <w:sz w:val="21"/>
          <w:szCs w:val="21"/>
          <w:lang w:val="es-PE"/>
        </w:rPr>
        <w:t xml:space="preserve">que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este se </w:t>
      </w:r>
      <w:r>
        <w:rPr>
          <w:rFonts w:ascii="Arial Narrow" w:hAnsi="Arial Narrow"/>
          <w:sz w:val="21"/>
          <w:szCs w:val="21"/>
          <w:lang w:val="es-PE"/>
        </w:rPr>
        <w:t>realizó en abril 2025</w:t>
      </w:r>
      <w:bookmarkEnd w:id="8"/>
      <w:r>
        <w:rPr>
          <w:rFonts w:ascii="Arial Narrow" w:hAnsi="Arial Narrow"/>
          <w:sz w:val="21"/>
          <w:szCs w:val="21"/>
          <w:lang w:val="es-PE"/>
        </w:rPr>
        <w:t xml:space="preserve">, </w:t>
      </w:r>
      <w:r w:rsidR="00111190" w:rsidRPr="00FF2836">
        <w:rPr>
          <w:rFonts w:ascii="Arial Narrow" w:hAnsi="Arial Narrow"/>
          <w:sz w:val="21"/>
          <w:szCs w:val="21"/>
          <w:lang w:val="es-PE"/>
        </w:rPr>
        <w:t>manteniéndo</w:t>
      </w:r>
      <w:r w:rsidR="00111190">
        <w:rPr>
          <w:rFonts w:ascii="Arial Narrow" w:hAnsi="Arial Narrow"/>
          <w:sz w:val="21"/>
          <w:szCs w:val="21"/>
          <w:lang w:val="es-PE"/>
        </w:rPr>
        <w:t>se</w:t>
      </w:r>
      <w:r w:rsidR="00FF2836" w:rsidRPr="00FF2836">
        <w:rPr>
          <w:rFonts w:ascii="Arial Narrow" w:hAnsi="Arial Narrow"/>
          <w:sz w:val="21"/>
          <w:szCs w:val="21"/>
          <w:lang w:val="es-PE"/>
        </w:rPr>
        <w:t xml:space="preserve">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así </w:t>
      </w:r>
      <w:r w:rsidR="00FF2836" w:rsidRPr="00FF2836">
        <w:rPr>
          <w:rFonts w:ascii="Arial Narrow" w:hAnsi="Arial Narrow"/>
          <w:sz w:val="21"/>
          <w:szCs w:val="21"/>
          <w:lang w:val="es-PE"/>
        </w:rPr>
        <w:t>el 30% de avance financier</w:t>
      </w:r>
      <w:r w:rsidR="00111190">
        <w:rPr>
          <w:rFonts w:ascii="Arial Narrow" w:hAnsi="Arial Narrow"/>
          <w:sz w:val="21"/>
          <w:szCs w:val="21"/>
          <w:lang w:val="es-PE"/>
        </w:rPr>
        <w:t>o</w:t>
      </w:r>
      <w:r w:rsidR="00FF2836" w:rsidRPr="00FF2836">
        <w:rPr>
          <w:rFonts w:ascii="Arial Narrow" w:hAnsi="Arial Narrow"/>
          <w:sz w:val="21"/>
          <w:szCs w:val="21"/>
          <w:lang w:val="es-PE"/>
        </w:rPr>
        <w:t xml:space="preserve">,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conforme </w:t>
      </w:r>
      <w:r w:rsidR="00FF2836" w:rsidRPr="00FF2836">
        <w:rPr>
          <w:rFonts w:ascii="Arial Narrow" w:hAnsi="Arial Narrow"/>
          <w:sz w:val="21"/>
          <w:szCs w:val="21"/>
          <w:lang w:val="es-PE"/>
        </w:rPr>
        <w:t>a lo programado.</w:t>
      </w:r>
    </w:p>
    <w:p w14:paraId="34F2668A" w14:textId="353CA767" w:rsidR="009A79E0" w:rsidRDefault="009A79E0" w:rsidP="009A79E0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FF2836">
        <w:rPr>
          <w:rFonts w:ascii="Arial Narrow" w:hAnsi="Arial Narrow"/>
          <w:sz w:val="21"/>
          <w:szCs w:val="21"/>
          <w:lang w:val="es-PE"/>
        </w:rPr>
        <w:t xml:space="preserve">En </w:t>
      </w:r>
      <w:r>
        <w:rPr>
          <w:rFonts w:ascii="Arial Narrow" w:hAnsi="Arial Narrow"/>
          <w:sz w:val="21"/>
          <w:szCs w:val="21"/>
          <w:lang w:val="es-PE"/>
        </w:rPr>
        <w:t>junio</w:t>
      </w:r>
      <w:r w:rsidRPr="00FF2836">
        <w:rPr>
          <w:rFonts w:ascii="Arial Narrow" w:hAnsi="Arial Narrow"/>
          <w:sz w:val="21"/>
          <w:szCs w:val="21"/>
          <w:lang w:val="es-PE"/>
        </w:rPr>
        <w:t xml:space="preserve"> 2025 se deveng</w:t>
      </w:r>
      <w:r>
        <w:rPr>
          <w:rFonts w:ascii="Arial Narrow" w:hAnsi="Arial Narrow"/>
          <w:sz w:val="21"/>
          <w:szCs w:val="21"/>
          <w:lang w:val="es-PE"/>
        </w:rPr>
        <w:t>ó el monto de S/. 10 500 nuevos soles, correspondiente al segundo entregable</w:t>
      </w:r>
      <w:r w:rsidR="00387ADC">
        <w:rPr>
          <w:rFonts w:ascii="Arial Narrow" w:hAnsi="Arial Narrow"/>
          <w:sz w:val="21"/>
          <w:szCs w:val="21"/>
          <w:lang w:val="es-PE"/>
        </w:rPr>
        <w:t xml:space="preserve">,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previsto </w:t>
      </w:r>
      <w:r w:rsidR="00387ADC">
        <w:rPr>
          <w:rFonts w:ascii="Arial Narrow" w:hAnsi="Arial Narrow"/>
          <w:sz w:val="21"/>
          <w:szCs w:val="21"/>
          <w:lang w:val="es-PE"/>
        </w:rPr>
        <w:t>para julio 2025</w:t>
      </w:r>
      <w:r>
        <w:rPr>
          <w:rFonts w:ascii="Arial Narrow" w:hAnsi="Arial Narrow"/>
          <w:sz w:val="21"/>
          <w:szCs w:val="21"/>
          <w:lang w:val="es-PE"/>
        </w:rPr>
        <w:t xml:space="preserve">.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Con ello se alcanzó </w:t>
      </w:r>
      <w:r>
        <w:rPr>
          <w:rFonts w:ascii="Arial Narrow" w:hAnsi="Arial Narrow"/>
          <w:sz w:val="21"/>
          <w:szCs w:val="21"/>
          <w:lang w:val="es-PE"/>
        </w:rPr>
        <w:t xml:space="preserve">el 65% de avance del total de la ejecución financiera,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lo cual se encuentra dentro de </w:t>
      </w:r>
      <w:r>
        <w:rPr>
          <w:rFonts w:ascii="Arial Narrow" w:hAnsi="Arial Narrow"/>
          <w:sz w:val="21"/>
          <w:szCs w:val="21"/>
          <w:lang w:val="es-PE"/>
        </w:rPr>
        <w:t>lo programado.</w:t>
      </w:r>
    </w:p>
    <w:bookmarkEnd w:id="9"/>
    <w:p w14:paraId="0A077C8E" w14:textId="00A44433" w:rsidR="00722E8A" w:rsidRDefault="00722E8A" w:rsidP="00722E8A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FF2836">
        <w:rPr>
          <w:rFonts w:ascii="Arial Narrow" w:hAnsi="Arial Narrow"/>
          <w:sz w:val="21"/>
          <w:szCs w:val="21"/>
          <w:lang w:val="es-PE"/>
        </w:rPr>
        <w:t xml:space="preserve">En </w:t>
      </w:r>
      <w:r>
        <w:rPr>
          <w:rFonts w:ascii="Arial Narrow" w:hAnsi="Arial Narrow"/>
          <w:sz w:val="21"/>
          <w:szCs w:val="21"/>
          <w:lang w:val="es-PE"/>
        </w:rPr>
        <w:t>julio</w:t>
      </w:r>
      <w:r w:rsidRPr="00FF2836">
        <w:rPr>
          <w:rFonts w:ascii="Arial Narrow" w:hAnsi="Arial Narrow"/>
          <w:sz w:val="21"/>
          <w:szCs w:val="21"/>
          <w:lang w:val="es-PE"/>
        </w:rPr>
        <w:t xml:space="preserve"> 2025 se deveng</w:t>
      </w:r>
      <w:r>
        <w:rPr>
          <w:rFonts w:ascii="Arial Narrow" w:hAnsi="Arial Narrow"/>
          <w:sz w:val="21"/>
          <w:szCs w:val="21"/>
          <w:lang w:val="es-PE"/>
        </w:rPr>
        <w:t>ó S/. 10 500 nuevos soles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 por el </w:t>
      </w:r>
      <w:r>
        <w:rPr>
          <w:rFonts w:ascii="Arial Narrow" w:hAnsi="Arial Narrow"/>
          <w:sz w:val="21"/>
          <w:szCs w:val="21"/>
          <w:lang w:val="es-PE"/>
        </w:rPr>
        <w:t xml:space="preserve">tercer entregable, 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programado </w:t>
      </w:r>
      <w:r>
        <w:rPr>
          <w:rFonts w:ascii="Arial Narrow" w:hAnsi="Arial Narrow"/>
          <w:sz w:val="21"/>
          <w:szCs w:val="21"/>
          <w:lang w:val="es-PE"/>
        </w:rPr>
        <w:t>para agosto 2025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, completando </w:t>
      </w:r>
      <w:r>
        <w:rPr>
          <w:rFonts w:ascii="Arial Narrow" w:hAnsi="Arial Narrow"/>
          <w:sz w:val="21"/>
          <w:szCs w:val="21"/>
          <w:lang w:val="es-PE"/>
        </w:rPr>
        <w:t xml:space="preserve">el 100% de la ejecución financiera, cumpliendo con lo </w:t>
      </w:r>
      <w:r w:rsidR="00D25661">
        <w:rPr>
          <w:rFonts w:ascii="Arial Narrow" w:hAnsi="Arial Narrow"/>
          <w:sz w:val="21"/>
          <w:szCs w:val="21"/>
          <w:lang w:val="es-PE"/>
        </w:rPr>
        <w:t>planificado</w:t>
      </w:r>
      <w:r>
        <w:rPr>
          <w:rFonts w:ascii="Arial Narrow" w:hAnsi="Arial Narrow"/>
          <w:sz w:val="21"/>
          <w:szCs w:val="21"/>
          <w:lang w:val="es-PE"/>
        </w:rPr>
        <w:t>.</w:t>
      </w:r>
    </w:p>
    <w:p w14:paraId="5A5AA63E" w14:textId="77777777" w:rsidR="002C5F4F" w:rsidRDefault="002C5F4F" w:rsidP="00E955EF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734A2F57" w14:textId="14668928" w:rsidR="009100B8" w:rsidRPr="00117981" w:rsidRDefault="009100B8" w:rsidP="009100B8">
      <w:pPr>
        <w:numPr>
          <w:ilvl w:val="1"/>
          <w:numId w:val="13"/>
        </w:numPr>
        <w:ind w:left="426" w:hanging="426"/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117981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Análisis del estado de las </w:t>
      </w:r>
      <w:r w:rsidR="00D61EB2" w:rsidRPr="00117981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contrataciones</w:t>
      </w:r>
      <w:r w:rsidRPr="00117981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 de bienes </w:t>
      </w:r>
      <w:r w:rsidR="00D61EB2" w:rsidRPr="00117981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y servicios a </w:t>
      </w:r>
      <w:r w:rsidR="001D5FA9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julio</w:t>
      </w:r>
      <w:r w:rsidR="00117981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 </w:t>
      </w:r>
      <w:r w:rsidRPr="00117981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del 2025</w:t>
      </w:r>
    </w:p>
    <w:p w14:paraId="6DD8E722" w14:textId="60B1CB8C" w:rsidR="00FF2836" w:rsidRPr="00FF2836" w:rsidRDefault="00FF2836" w:rsidP="00FF283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FF2836">
        <w:rPr>
          <w:rFonts w:ascii="Arial Narrow" w:hAnsi="Arial Narrow"/>
          <w:sz w:val="21"/>
          <w:szCs w:val="21"/>
          <w:lang w:val="es-ES"/>
        </w:rPr>
        <w:t>En marzo 2025, se inició la ejecución del servicio mediante la Orden de Servicio N° 00058-2025, bajo el concepto “Contratación del servicio de un especialista en análisis y modelamiento de escenarios de riesgo por inundación a nivel de cuenca”</w:t>
      </w:r>
      <w:r w:rsidR="00DD2173">
        <w:rPr>
          <w:rFonts w:ascii="Arial Narrow" w:hAnsi="Arial Narrow"/>
          <w:sz w:val="21"/>
          <w:szCs w:val="21"/>
          <w:lang w:val="es-ES"/>
        </w:rPr>
        <w:t xml:space="preserve">, con el </w:t>
      </w:r>
      <w:r w:rsidRPr="00FF2836">
        <w:rPr>
          <w:rFonts w:ascii="Arial Narrow" w:hAnsi="Arial Narrow"/>
          <w:sz w:val="21"/>
          <w:szCs w:val="21"/>
          <w:lang w:val="es-PE"/>
        </w:rPr>
        <w:t xml:space="preserve">Expediente SIAF </w:t>
      </w:r>
      <w:r w:rsidR="00DD2173">
        <w:rPr>
          <w:rFonts w:ascii="Arial Narrow" w:hAnsi="Arial Narrow"/>
          <w:sz w:val="21"/>
          <w:szCs w:val="21"/>
          <w:lang w:val="es-PE"/>
        </w:rPr>
        <w:t xml:space="preserve">N° </w:t>
      </w:r>
      <w:r w:rsidRPr="00FF2836">
        <w:rPr>
          <w:rFonts w:ascii="Arial Narrow" w:hAnsi="Arial Narrow"/>
          <w:sz w:val="21"/>
          <w:szCs w:val="21"/>
          <w:lang w:val="es-PE"/>
        </w:rPr>
        <w:t>00159-2025.</w:t>
      </w:r>
    </w:p>
    <w:p w14:paraId="0A8AB13E" w14:textId="1D11C80C" w:rsidR="00117981" w:rsidRDefault="002C5F4F" w:rsidP="00117981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En abril 2025, se culminó el primer entregable</w:t>
      </w:r>
      <w:r w:rsidR="00FF2836">
        <w:rPr>
          <w:rFonts w:ascii="Arial Narrow" w:hAnsi="Arial Narrow"/>
          <w:sz w:val="21"/>
          <w:szCs w:val="21"/>
          <w:lang w:val="es-PE"/>
        </w:rPr>
        <w:t xml:space="preserve"> </w:t>
      </w:r>
      <w:r w:rsidR="00117981">
        <w:rPr>
          <w:rFonts w:ascii="Arial Narrow" w:hAnsi="Arial Narrow"/>
          <w:sz w:val="21"/>
          <w:szCs w:val="21"/>
          <w:lang w:val="es-PE"/>
        </w:rPr>
        <w:t>la Orden de Servicio N° 00058-2025</w:t>
      </w:r>
      <w:r w:rsidR="00E23920">
        <w:rPr>
          <w:rFonts w:ascii="Arial Narrow" w:hAnsi="Arial Narrow"/>
          <w:sz w:val="21"/>
          <w:szCs w:val="21"/>
          <w:lang w:val="es-PE"/>
        </w:rPr>
        <w:t>,</w:t>
      </w:r>
      <w:r w:rsidR="002E4B5F">
        <w:rPr>
          <w:rFonts w:ascii="Arial Narrow" w:hAnsi="Arial Narrow"/>
          <w:sz w:val="21"/>
          <w:szCs w:val="21"/>
          <w:lang w:val="es-PE"/>
        </w:rPr>
        <w:t xml:space="preserve"> y se devengó el monto de </w:t>
      </w:r>
      <w:r w:rsidR="002E4B5F" w:rsidRPr="002E4B5F">
        <w:rPr>
          <w:rFonts w:ascii="Arial Narrow" w:hAnsi="Arial Narrow"/>
          <w:sz w:val="21"/>
          <w:szCs w:val="21"/>
        </w:rPr>
        <w:t>S/.9000 nuevos soles</w:t>
      </w:r>
      <w:r w:rsidR="002E4B5F">
        <w:rPr>
          <w:rFonts w:ascii="Arial Narrow" w:hAnsi="Arial Narrow"/>
          <w:sz w:val="21"/>
          <w:szCs w:val="21"/>
        </w:rPr>
        <w:t>.</w:t>
      </w:r>
    </w:p>
    <w:p w14:paraId="7BFA1146" w14:textId="3C28A456" w:rsidR="009A79E0" w:rsidRDefault="009A79E0" w:rsidP="009A79E0">
      <w:pPr>
        <w:contextualSpacing/>
        <w:jc w:val="both"/>
        <w:rPr>
          <w:rFonts w:ascii="Arial Narrow" w:hAnsi="Arial Narrow"/>
          <w:sz w:val="21"/>
          <w:szCs w:val="21"/>
        </w:rPr>
      </w:pPr>
      <w:r>
        <w:rPr>
          <w:rFonts w:ascii="Arial Narrow" w:hAnsi="Arial Narrow"/>
          <w:sz w:val="21"/>
          <w:szCs w:val="21"/>
          <w:lang w:val="es-PE"/>
        </w:rPr>
        <w:t xml:space="preserve">En junio 2025, se culminó el segundo entregable de la Orden de Servicio N° 00058-2025, y se devengó el monto de </w:t>
      </w:r>
      <w:r w:rsidRPr="002E4B5F">
        <w:rPr>
          <w:rFonts w:ascii="Arial Narrow" w:hAnsi="Arial Narrow"/>
          <w:sz w:val="21"/>
          <w:szCs w:val="21"/>
        </w:rPr>
        <w:t xml:space="preserve">S/. </w:t>
      </w:r>
      <w:r>
        <w:rPr>
          <w:rFonts w:ascii="Arial Narrow" w:hAnsi="Arial Narrow"/>
          <w:sz w:val="21"/>
          <w:szCs w:val="21"/>
        </w:rPr>
        <w:t>10 5</w:t>
      </w:r>
      <w:r w:rsidRPr="002E4B5F">
        <w:rPr>
          <w:rFonts w:ascii="Arial Narrow" w:hAnsi="Arial Narrow"/>
          <w:sz w:val="21"/>
          <w:szCs w:val="21"/>
        </w:rPr>
        <w:t>00 nuevos soles</w:t>
      </w:r>
      <w:r>
        <w:rPr>
          <w:rFonts w:ascii="Arial Narrow" w:hAnsi="Arial Narrow"/>
          <w:sz w:val="21"/>
          <w:szCs w:val="21"/>
        </w:rPr>
        <w:t>.</w:t>
      </w:r>
    </w:p>
    <w:p w14:paraId="68BC5135" w14:textId="013A3D1C" w:rsidR="00943D19" w:rsidRDefault="00943D19" w:rsidP="00943D19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lastRenderedPageBreak/>
        <w:t xml:space="preserve">En julio 2025, se culminó el tercer y último entregable de la Orden de Servicio N° 00058-2025, procediéndose al devengado del monto correspondiente, por un total de </w:t>
      </w:r>
      <w:r w:rsidRPr="002E4B5F">
        <w:rPr>
          <w:rFonts w:ascii="Arial Narrow" w:hAnsi="Arial Narrow"/>
          <w:sz w:val="21"/>
          <w:szCs w:val="21"/>
        </w:rPr>
        <w:t xml:space="preserve">S/. </w:t>
      </w:r>
      <w:r>
        <w:rPr>
          <w:rFonts w:ascii="Arial Narrow" w:hAnsi="Arial Narrow"/>
          <w:sz w:val="21"/>
          <w:szCs w:val="21"/>
        </w:rPr>
        <w:t>10 5</w:t>
      </w:r>
      <w:r w:rsidRPr="002E4B5F">
        <w:rPr>
          <w:rFonts w:ascii="Arial Narrow" w:hAnsi="Arial Narrow"/>
          <w:sz w:val="21"/>
          <w:szCs w:val="21"/>
        </w:rPr>
        <w:t>00 nuevos soles</w:t>
      </w:r>
      <w:r>
        <w:rPr>
          <w:rFonts w:ascii="Arial Narrow" w:hAnsi="Arial Narrow"/>
          <w:sz w:val="21"/>
          <w:szCs w:val="21"/>
        </w:rPr>
        <w:t>.</w:t>
      </w:r>
    </w:p>
    <w:p w14:paraId="1F331925" w14:textId="77777777" w:rsidR="00111190" w:rsidRDefault="00111190" w:rsidP="00117981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65D77097" w14:textId="5DBED49A" w:rsidR="00E65D42" w:rsidRPr="0025134E" w:rsidRDefault="00E65D42" w:rsidP="00E65D42">
      <w:pPr>
        <w:numPr>
          <w:ilvl w:val="0"/>
          <w:numId w:val="13"/>
        </w:numPr>
        <w:ind w:left="284" w:hanging="284"/>
        <w:contextualSpacing/>
        <w:jc w:val="both"/>
        <w:rPr>
          <w:rFonts w:ascii="Arial Narrow" w:hAnsi="Arial Narrow"/>
          <w:b/>
          <w:sz w:val="21"/>
          <w:szCs w:val="21"/>
          <w:lang w:val="es-PE"/>
        </w:rPr>
      </w:pPr>
      <w:r>
        <w:rPr>
          <w:rFonts w:ascii="Arial Narrow" w:hAnsi="Arial Narrow"/>
          <w:b/>
          <w:sz w:val="21"/>
          <w:szCs w:val="21"/>
          <w:lang w:val="es-PE"/>
        </w:rPr>
        <w:t>CONCLUSIONES Y RECOMENDACIONES</w:t>
      </w:r>
    </w:p>
    <w:p w14:paraId="42422A68" w14:textId="0FF3F963" w:rsidR="00E23920" w:rsidRDefault="00E8436E" w:rsidP="00CF168B">
      <w:pPr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  <w:r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Se </w:t>
      </w:r>
      <w:r w:rsidR="000753E4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programó </w:t>
      </w:r>
      <w:r w:rsidR="00243AF2"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>la elaboración de 02 escenarios de riesgo por inundaciones</w:t>
      </w:r>
      <w:r w:rsidR="00AF2ADD"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en el marco del PLIA 2025 - 2027</w:t>
      </w:r>
      <w:r w:rsidR="00243AF2"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, uno en la provincia de Nazca </w:t>
      </w:r>
      <w:r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>(</w:t>
      </w:r>
      <w:r w:rsidR="00243AF2"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>Ica</w:t>
      </w:r>
      <w:r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>)</w:t>
      </w:r>
      <w:r w:rsidR="00243AF2"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y el otro en la provincia de Lucanas </w:t>
      </w:r>
      <w:r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>(</w:t>
      </w:r>
      <w:r w:rsidR="00243AF2"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>Ayacucho</w:t>
      </w:r>
      <w:r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), </w:t>
      </w:r>
      <w:r w:rsidR="00943D19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desarrollados </w:t>
      </w:r>
      <w:r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durante el periodo marzo – </w:t>
      </w:r>
      <w:r w:rsidR="002F57D2"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>julio</w:t>
      </w:r>
      <w:r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2025</w:t>
      </w:r>
      <w:r w:rsidR="00E67864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, mediante la </w:t>
      </w:r>
      <w:r w:rsidR="00E67864" w:rsidRPr="00FF2836">
        <w:rPr>
          <w:rFonts w:ascii="Arial Narrow" w:hAnsi="Arial Narrow"/>
          <w:sz w:val="21"/>
          <w:szCs w:val="21"/>
          <w:lang w:val="es-ES"/>
        </w:rPr>
        <w:t>Orden de Servicio N° 00058-2025, bajo el concepto “Contratación del servicio de un especialista en análisis y modelamiento de escenarios de riesgo por inundación a nivel de cuenca”</w:t>
      </w:r>
      <w:r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>.</w:t>
      </w:r>
    </w:p>
    <w:p w14:paraId="21AAA2C2" w14:textId="48C8CBBC" w:rsidR="002C5F4F" w:rsidRPr="00CF168B" w:rsidRDefault="00E23920" w:rsidP="00CF168B">
      <w:pPr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  <w:bookmarkStart w:id="10" w:name="_Hlk192787105"/>
      <w:r>
        <w:rPr>
          <w:rFonts w:ascii="Arial Narrow" w:eastAsia="Times New Roman" w:hAnsi="Arial Narrow" w:cs="Arial"/>
          <w:sz w:val="21"/>
          <w:szCs w:val="21"/>
          <w:lang w:val="es-PE" w:eastAsia="en-US"/>
        </w:rPr>
        <w:t>A ju</w:t>
      </w:r>
      <w:r w:rsidR="00434229">
        <w:rPr>
          <w:rFonts w:ascii="Arial Narrow" w:eastAsia="Times New Roman" w:hAnsi="Arial Narrow" w:cs="Arial"/>
          <w:sz w:val="21"/>
          <w:szCs w:val="21"/>
          <w:lang w:val="es-PE" w:eastAsia="en-US"/>
        </w:rPr>
        <w:t>l</w:t>
      </w:r>
      <w:r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io </w:t>
      </w:r>
      <w:r w:rsidR="0077104A"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>2025</w:t>
      </w:r>
      <w:r w:rsidR="00E8436E"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>,</w:t>
      </w:r>
      <w:r w:rsidR="002C5F4F"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se culminó </w:t>
      </w:r>
      <w:r w:rsidR="000753E4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y devengó </w:t>
      </w:r>
      <w:r w:rsidR="002C5F4F"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el </w:t>
      </w:r>
      <w:r w:rsidR="00434229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tercer </w:t>
      </w:r>
      <w:r w:rsidR="002C5F4F"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entregable de </w:t>
      </w:r>
      <w:r w:rsidR="00E67864">
        <w:rPr>
          <w:rFonts w:ascii="Arial Narrow" w:eastAsia="Times New Roman" w:hAnsi="Arial Narrow" w:cs="Arial"/>
          <w:sz w:val="21"/>
          <w:szCs w:val="21"/>
          <w:lang w:val="es-PE" w:eastAsia="en-US"/>
        </w:rPr>
        <w:t>este servicio</w:t>
      </w:r>
      <w:r w:rsidR="002C5F4F"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, </w:t>
      </w:r>
      <w:bookmarkEnd w:id="10"/>
      <w:r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lo </w:t>
      </w:r>
      <w:r w:rsidR="00111190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que </w:t>
      </w:r>
      <w:r w:rsidR="00DF4E1F"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representa </w:t>
      </w:r>
      <w:r w:rsidR="00434229">
        <w:rPr>
          <w:rFonts w:ascii="Arial Narrow" w:eastAsia="Times New Roman" w:hAnsi="Arial Narrow" w:cs="Arial"/>
          <w:sz w:val="21"/>
          <w:szCs w:val="21"/>
          <w:lang w:val="es-PE" w:eastAsia="en-US"/>
        </w:rPr>
        <w:t>el 10</w:t>
      </w:r>
      <w:r>
        <w:rPr>
          <w:rFonts w:ascii="Arial Narrow" w:eastAsia="Times New Roman" w:hAnsi="Arial Narrow" w:cs="Arial"/>
          <w:sz w:val="21"/>
          <w:szCs w:val="21"/>
          <w:lang w:val="es-PE" w:eastAsia="en-US"/>
        </w:rPr>
        <w:t>0</w:t>
      </w:r>
      <w:r w:rsidR="00DF4E1F"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% </w:t>
      </w:r>
      <w:r w:rsidR="00434229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de </w:t>
      </w:r>
      <w:r w:rsidR="00111190">
        <w:rPr>
          <w:rFonts w:ascii="Arial Narrow" w:eastAsia="Times New Roman" w:hAnsi="Arial Narrow" w:cs="Arial"/>
          <w:sz w:val="21"/>
          <w:szCs w:val="21"/>
          <w:lang w:val="es-PE" w:eastAsia="en-US"/>
        </w:rPr>
        <w:t>ejecución</w:t>
      </w:r>
      <w:r w:rsidR="00434229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de </w:t>
      </w:r>
      <w:r w:rsidR="00111190">
        <w:rPr>
          <w:rFonts w:ascii="Arial Narrow" w:eastAsia="Times New Roman" w:hAnsi="Arial Narrow" w:cs="Arial"/>
          <w:sz w:val="21"/>
          <w:szCs w:val="21"/>
          <w:lang w:val="es-PE" w:eastAsia="en-US"/>
        </w:rPr>
        <w:t>la meta física</w:t>
      </w:r>
      <w:r w:rsidR="00434229">
        <w:rPr>
          <w:rFonts w:ascii="Arial Narrow" w:eastAsia="Times New Roman" w:hAnsi="Arial Narrow" w:cs="Arial"/>
          <w:sz w:val="21"/>
          <w:szCs w:val="21"/>
          <w:lang w:val="es-PE" w:eastAsia="en-US"/>
        </w:rPr>
        <w:t>, así como de la meta financiera</w:t>
      </w:r>
      <w:r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, conforme a </w:t>
      </w:r>
      <w:r w:rsid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>lo</w:t>
      </w:r>
      <w:r w:rsidR="00CF168B" w:rsidRP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programad</w:t>
      </w:r>
      <w:r w:rsidR="00CF168B">
        <w:rPr>
          <w:rFonts w:ascii="Arial Narrow" w:eastAsia="Times New Roman" w:hAnsi="Arial Narrow" w:cs="Arial"/>
          <w:sz w:val="21"/>
          <w:szCs w:val="21"/>
          <w:lang w:val="es-PE" w:eastAsia="en-US"/>
        </w:rPr>
        <w:t>o</w:t>
      </w:r>
      <w:r w:rsidR="00E67864">
        <w:rPr>
          <w:rFonts w:ascii="Arial Narrow" w:eastAsia="Times New Roman" w:hAnsi="Arial Narrow" w:cs="Arial"/>
          <w:sz w:val="21"/>
          <w:szCs w:val="21"/>
          <w:lang w:val="es-PE" w:eastAsia="en-US"/>
        </w:rPr>
        <w:t>.</w:t>
      </w:r>
    </w:p>
    <w:p w14:paraId="18FD1224" w14:textId="77777777" w:rsidR="00E23920" w:rsidRPr="00D41783" w:rsidRDefault="00E23920" w:rsidP="00D41783">
      <w:pPr>
        <w:contextualSpacing/>
        <w:jc w:val="both"/>
        <w:rPr>
          <w:rFonts w:ascii="Arial Narrow" w:hAnsi="Arial Narrow"/>
          <w:b/>
          <w:sz w:val="21"/>
          <w:szCs w:val="21"/>
          <w:lang w:val="es-PE"/>
        </w:rPr>
      </w:pPr>
    </w:p>
    <w:p w14:paraId="6CE93061" w14:textId="574EBE2E" w:rsidR="008C4B2C" w:rsidRDefault="008C4B2C" w:rsidP="00851002">
      <w:pPr>
        <w:numPr>
          <w:ilvl w:val="0"/>
          <w:numId w:val="13"/>
        </w:numPr>
        <w:ind w:left="284" w:hanging="284"/>
        <w:contextualSpacing/>
        <w:jc w:val="both"/>
        <w:rPr>
          <w:rFonts w:ascii="Arial Narrow" w:hAnsi="Arial Narrow"/>
          <w:b/>
          <w:sz w:val="21"/>
          <w:szCs w:val="21"/>
          <w:lang w:val="es-PE"/>
        </w:rPr>
      </w:pPr>
      <w:r w:rsidRPr="00851002">
        <w:rPr>
          <w:rFonts w:ascii="Arial Narrow" w:hAnsi="Arial Narrow"/>
          <w:b/>
          <w:sz w:val="21"/>
          <w:szCs w:val="21"/>
          <w:lang w:val="es-PE"/>
        </w:rPr>
        <w:t>PANEL FOTOGRÁFICO</w:t>
      </w:r>
    </w:p>
    <w:p w14:paraId="1E0947DA" w14:textId="77777777" w:rsidR="00E23920" w:rsidRDefault="00E23920" w:rsidP="00731BC7">
      <w:pPr>
        <w:contextualSpacing/>
        <w:jc w:val="both"/>
        <w:rPr>
          <w:rFonts w:ascii="Arial Narrow" w:hAnsi="Arial Narrow"/>
          <w:bCs/>
          <w:sz w:val="21"/>
          <w:szCs w:val="21"/>
          <w:lang w:val="es-PE"/>
        </w:rPr>
      </w:pPr>
    </w:p>
    <w:p w14:paraId="414D6ED2" w14:textId="0C08B001" w:rsidR="000B0B02" w:rsidRDefault="007016D2" w:rsidP="000B0B02">
      <w:pPr>
        <w:contextualSpacing/>
        <w:jc w:val="both"/>
        <w:rPr>
          <w:rFonts w:ascii="Arial Narrow" w:hAnsi="Arial Narrow"/>
          <w:bCs/>
          <w:sz w:val="21"/>
          <w:szCs w:val="21"/>
          <w:lang w:val="es-PE"/>
        </w:rPr>
      </w:pPr>
      <w:r>
        <w:rPr>
          <w:rFonts w:ascii="Arial Narrow" w:hAnsi="Arial Narrow"/>
          <w:bCs/>
          <w:sz w:val="21"/>
          <w:szCs w:val="21"/>
          <w:lang w:val="es-PE"/>
        </w:rPr>
        <w:t xml:space="preserve">Figura </w:t>
      </w:r>
      <w:r w:rsidR="008C35F7">
        <w:rPr>
          <w:rFonts w:ascii="Arial Narrow" w:hAnsi="Arial Narrow"/>
          <w:bCs/>
          <w:sz w:val="21"/>
          <w:szCs w:val="21"/>
          <w:lang w:val="es-PE"/>
        </w:rPr>
        <w:t>1</w:t>
      </w:r>
      <w:r w:rsidR="000B0B02">
        <w:rPr>
          <w:rFonts w:ascii="Arial Narrow" w:hAnsi="Arial Narrow"/>
          <w:bCs/>
          <w:sz w:val="21"/>
          <w:szCs w:val="21"/>
          <w:lang w:val="es-PE"/>
        </w:rPr>
        <w:t>.</w:t>
      </w:r>
      <w:r>
        <w:rPr>
          <w:rFonts w:ascii="Arial Narrow" w:hAnsi="Arial Narrow"/>
          <w:bCs/>
          <w:sz w:val="21"/>
          <w:szCs w:val="21"/>
          <w:lang w:val="es-PE"/>
        </w:rPr>
        <w:t xml:space="preserve"> </w:t>
      </w:r>
      <w:r w:rsidR="000B0B02">
        <w:rPr>
          <w:rFonts w:ascii="Arial Narrow" w:hAnsi="Arial Narrow"/>
          <w:bCs/>
          <w:sz w:val="21"/>
          <w:szCs w:val="21"/>
          <w:lang w:val="es-PE"/>
        </w:rPr>
        <w:t xml:space="preserve">Escenario de riesgo por inundación </w:t>
      </w:r>
      <w:r w:rsidR="00DD7863">
        <w:rPr>
          <w:rFonts w:ascii="Arial Narrow" w:hAnsi="Arial Narrow"/>
          <w:bCs/>
          <w:sz w:val="21"/>
          <w:szCs w:val="21"/>
          <w:lang w:val="es-PE"/>
        </w:rPr>
        <w:t>de</w:t>
      </w:r>
      <w:r w:rsidR="000B0B02">
        <w:rPr>
          <w:rFonts w:ascii="Arial Narrow" w:hAnsi="Arial Narrow"/>
          <w:bCs/>
          <w:sz w:val="21"/>
          <w:szCs w:val="21"/>
          <w:lang w:val="es-PE"/>
        </w:rPr>
        <w:t xml:space="preserve"> la provincia de Nasca (Ica), comprendida en la cuenca del río Grande.</w:t>
      </w:r>
    </w:p>
    <w:p w14:paraId="5E5D9F1A" w14:textId="2AF9B8A0" w:rsidR="00E23920" w:rsidRDefault="00E23920" w:rsidP="007016D2">
      <w:pPr>
        <w:contextualSpacing/>
        <w:jc w:val="both"/>
        <w:rPr>
          <w:rFonts w:ascii="Arial Narrow" w:hAnsi="Arial Narrow"/>
          <w:bCs/>
          <w:sz w:val="21"/>
          <w:szCs w:val="21"/>
          <w:lang w:val="es-PE"/>
        </w:rPr>
      </w:pPr>
    </w:p>
    <w:p w14:paraId="77EAAB0A" w14:textId="15C16FD0" w:rsidR="007016D2" w:rsidRDefault="001F4211">
      <w:pPr>
        <w:rPr>
          <w:rFonts w:ascii="Arial Narrow" w:eastAsia="Times New Roman" w:hAnsi="Arial Narrow" w:cs="Arial"/>
          <w:sz w:val="20"/>
          <w:szCs w:val="20"/>
          <w:lang w:val="es-PE" w:eastAsia="en-US"/>
        </w:rPr>
      </w:pPr>
      <w:r>
        <w:rPr>
          <w:rFonts w:ascii="Arial Narrow" w:eastAsia="Times New Roman" w:hAnsi="Arial Narrow" w:cs="Arial"/>
          <w:noProof/>
          <w:sz w:val="20"/>
          <w:szCs w:val="20"/>
          <w:lang w:val="es-PE" w:eastAsia="en-US"/>
        </w:rPr>
        <w:drawing>
          <wp:inline distT="0" distB="0" distL="0" distR="0" wp14:anchorId="77CF4595" wp14:editId="481E3F81">
            <wp:extent cx="5757697" cy="4205412"/>
            <wp:effectExtent l="0" t="0" r="0" b="508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664" cy="42141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9BB581" w14:textId="77777777" w:rsidR="008C35F7" w:rsidRDefault="008C35F7">
      <w:pPr>
        <w:rPr>
          <w:rFonts w:ascii="Arial Narrow" w:eastAsia="Times New Roman" w:hAnsi="Arial Narrow" w:cs="Arial"/>
          <w:sz w:val="20"/>
          <w:szCs w:val="20"/>
          <w:lang w:val="es-PE" w:eastAsia="en-US"/>
        </w:rPr>
      </w:pPr>
    </w:p>
    <w:p w14:paraId="6C38B0E2" w14:textId="77777777" w:rsidR="000B0B02" w:rsidRDefault="000B0B02">
      <w:pPr>
        <w:rPr>
          <w:rFonts w:ascii="Arial Narrow" w:eastAsia="Times New Roman" w:hAnsi="Arial Narrow" w:cs="Arial"/>
          <w:sz w:val="20"/>
          <w:szCs w:val="20"/>
          <w:lang w:val="es-PE" w:eastAsia="en-US"/>
        </w:rPr>
      </w:pPr>
    </w:p>
    <w:p w14:paraId="12E9F3A2" w14:textId="77777777" w:rsidR="000B0B02" w:rsidRDefault="000B0B02">
      <w:pPr>
        <w:rPr>
          <w:rFonts w:ascii="Arial Narrow" w:eastAsia="Times New Roman" w:hAnsi="Arial Narrow" w:cs="Arial"/>
          <w:sz w:val="20"/>
          <w:szCs w:val="20"/>
          <w:lang w:val="es-PE" w:eastAsia="en-US"/>
        </w:rPr>
      </w:pPr>
    </w:p>
    <w:p w14:paraId="5721FE00" w14:textId="77777777" w:rsidR="000B0B02" w:rsidRDefault="000B0B02">
      <w:pPr>
        <w:rPr>
          <w:rFonts w:ascii="Arial Narrow" w:eastAsia="Times New Roman" w:hAnsi="Arial Narrow" w:cs="Arial"/>
          <w:sz w:val="20"/>
          <w:szCs w:val="20"/>
          <w:lang w:val="es-PE" w:eastAsia="en-US"/>
        </w:rPr>
      </w:pPr>
    </w:p>
    <w:p w14:paraId="5DCB0FAD" w14:textId="77777777" w:rsidR="000B0B02" w:rsidRDefault="000B0B02">
      <w:pPr>
        <w:rPr>
          <w:rFonts w:ascii="Arial Narrow" w:eastAsia="Times New Roman" w:hAnsi="Arial Narrow" w:cs="Arial"/>
          <w:sz w:val="20"/>
          <w:szCs w:val="20"/>
          <w:lang w:val="es-PE" w:eastAsia="en-US"/>
        </w:rPr>
      </w:pPr>
    </w:p>
    <w:p w14:paraId="7DD7506B" w14:textId="77777777" w:rsidR="000B0B02" w:rsidRDefault="000B0B02">
      <w:pPr>
        <w:rPr>
          <w:rFonts w:ascii="Arial Narrow" w:eastAsia="Times New Roman" w:hAnsi="Arial Narrow" w:cs="Arial"/>
          <w:sz w:val="20"/>
          <w:szCs w:val="20"/>
          <w:lang w:val="es-PE" w:eastAsia="en-US"/>
        </w:rPr>
      </w:pPr>
    </w:p>
    <w:p w14:paraId="37F020FF" w14:textId="77777777" w:rsidR="000B0B02" w:rsidRDefault="000B0B02">
      <w:pPr>
        <w:rPr>
          <w:rFonts w:ascii="Arial Narrow" w:eastAsia="Times New Roman" w:hAnsi="Arial Narrow" w:cs="Arial"/>
          <w:sz w:val="20"/>
          <w:szCs w:val="20"/>
          <w:lang w:val="es-PE" w:eastAsia="en-US"/>
        </w:rPr>
      </w:pPr>
    </w:p>
    <w:p w14:paraId="252F1EBE" w14:textId="77777777" w:rsidR="000B0B02" w:rsidRDefault="000B0B02">
      <w:pPr>
        <w:rPr>
          <w:rFonts w:ascii="Arial Narrow" w:eastAsia="Times New Roman" w:hAnsi="Arial Narrow" w:cs="Arial"/>
          <w:sz w:val="20"/>
          <w:szCs w:val="20"/>
          <w:lang w:val="es-PE" w:eastAsia="en-US"/>
        </w:rPr>
      </w:pPr>
    </w:p>
    <w:p w14:paraId="76733F9F" w14:textId="77777777" w:rsidR="000B0B02" w:rsidRDefault="000B0B02">
      <w:pPr>
        <w:rPr>
          <w:rFonts w:ascii="Arial Narrow" w:eastAsia="Times New Roman" w:hAnsi="Arial Narrow" w:cs="Arial"/>
          <w:sz w:val="20"/>
          <w:szCs w:val="20"/>
          <w:lang w:val="es-PE" w:eastAsia="en-US"/>
        </w:rPr>
      </w:pPr>
    </w:p>
    <w:p w14:paraId="03DBAAF7" w14:textId="77777777" w:rsidR="000B0B02" w:rsidRDefault="000B0B02">
      <w:pPr>
        <w:rPr>
          <w:rFonts w:ascii="Arial Narrow" w:eastAsia="Times New Roman" w:hAnsi="Arial Narrow" w:cs="Arial"/>
          <w:sz w:val="20"/>
          <w:szCs w:val="20"/>
          <w:lang w:val="es-PE" w:eastAsia="en-US"/>
        </w:rPr>
      </w:pPr>
    </w:p>
    <w:p w14:paraId="661AE581" w14:textId="77777777" w:rsidR="000B0B02" w:rsidRDefault="000B0B02">
      <w:pPr>
        <w:rPr>
          <w:rFonts w:ascii="Arial Narrow" w:eastAsia="Times New Roman" w:hAnsi="Arial Narrow" w:cs="Arial"/>
          <w:sz w:val="20"/>
          <w:szCs w:val="20"/>
          <w:lang w:val="es-PE" w:eastAsia="en-US"/>
        </w:rPr>
      </w:pPr>
    </w:p>
    <w:p w14:paraId="1F651C59" w14:textId="77777777" w:rsidR="000B0B02" w:rsidRDefault="000B0B02">
      <w:pPr>
        <w:rPr>
          <w:rFonts w:ascii="Arial Narrow" w:eastAsia="Times New Roman" w:hAnsi="Arial Narrow" w:cs="Arial"/>
          <w:sz w:val="20"/>
          <w:szCs w:val="20"/>
          <w:lang w:val="es-PE" w:eastAsia="en-US"/>
        </w:rPr>
      </w:pPr>
    </w:p>
    <w:p w14:paraId="56C2FF85" w14:textId="480F6604" w:rsidR="000B0B02" w:rsidRDefault="000B0B02" w:rsidP="000B0B02">
      <w:pPr>
        <w:contextualSpacing/>
        <w:jc w:val="both"/>
        <w:rPr>
          <w:rFonts w:ascii="Arial Narrow" w:hAnsi="Arial Narrow"/>
          <w:bCs/>
          <w:sz w:val="21"/>
          <w:szCs w:val="21"/>
          <w:lang w:val="es-PE"/>
        </w:rPr>
      </w:pPr>
      <w:r>
        <w:rPr>
          <w:rFonts w:ascii="Arial Narrow" w:hAnsi="Arial Narrow"/>
          <w:bCs/>
          <w:sz w:val="21"/>
          <w:szCs w:val="21"/>
          <w:lang w:val="es-PE"/>
        </w:rPr>
        <w:lastRenderedPageBreak/>
        <w:t xml:space="preserve">Figura 2. Escenario de riesgo por inundación </w:t>
      </w:r>
      <w:r w:rsidR="00DD7863">
        <w:rPr>
          <w:rFonts w:ascii="Arial Narrow" w:hAnsi="Arial Narrow"/>
          <w:bCs/>
          <w:sz w:val="21"/>
          <w:szCs w:val="21"/>
          <w:lang w:val="es-PE"/>
        </w:rPr>
        <w:t>de</w:t>
      </w:r>
      <w:r>
        <w:rPr>
          <w:rFonts w:ascii="Arial Narrow" w:hAnsi="Arial Narrow"/>
          <w:bCs/>
          <w:sz w:val="21"/>
          <w:szCs w:val="21"/>
          <w:lang w:val="es-PE"/>
        </w:rPr>
        <w:t xml:space="preserve"> la provincia de Lucanas (Ayacucho), </w:t>
      </w:r>
      <w:r w:rsidR="00DD7863">
        <w:rPr>
          <w:rFonts w:ascii="Arial Narrow" w:hAnsi="Arial Narrow"/>
          <w:bCs/>
          <w:sz w:val="21"/>
          <w:szCs w:val="21"/>
          <w:lang w:val="es-PE"/>
        </w:rPr>
        <w:t xml:space="preserve">comprendida </w:t>
      </w:r>
      <w:r>
        <w:rPr>
          <w:rFonts w:ascii="Arial Narrow" w:hAnsi="Arial Narrow"/>
          <w:bCs/>
          <w:sz w:val="21"/>
          <w:szCs w:val="21"/>
          <w:lang w:val="es-PE"/>
        </w:rPr>
        <w:t>en la cuenca del río Grande.</w:t>
      </w:r>
    </w:p>
    <w:p w14:paraId="11D18349" w14:textId="4B770809" w:rsidR="000B0B02" w:rsidRDefault="000B0B02" w:rsidP="000B0B02">
      <w:pPr>
        <w:contextualSpacing/>
        <w:jc w:val="both"/>
        <w:rPr>
          <w:rFonts w:ascii="Arial Narrow" w:hAnsi="Arial Narrow"/>
          <w:bCs/>
          <w:sz w:val="21"/>
          <w:szCs w:val="21"/>
          <w:lang w:val="es-PE"/>
        </w:rPr>
      </w:pPr>
    </w:p>
    <w:p w14:paraId="2DA64590" w14:textId="5C58BAF6" w:rsidR="000B0B02" w:rsidRDefault="001F4211" w:rsidP="000B0B02">
      <w:pPr>
        <w:rPr>
          <w:rFonts w:ascii="Arial Narrow" w:eastAsia="Times New Roman" w:hAnsi="Arial Narrow" w:cs="Arial"/>
          <w:sz w:val="20"/>
          <w:szCs w:val="20"/>
          <w:lang w:val="es-PE" w:eastAsia="en-US"/>
        </w:rPr>
      </w:pPr>
      <w:r>
        <w:rPr>
          <w:rFonts w:ascii="Arial Narrow" w:eastAsia="Times New Roman" w:hAnsi="Arial Narrow" w:cs="Arial"/>
          <w:noProof/>
          <w:sz w:val="20"/>
          <w:szCs w:val="20"/>
          <w:lang w:val="es-PE" w:eastAsia="en-US"/>
        </w:rPr>
        <w:drawing>
          <wp:inline distT="0" distB="0" distL="0" distR="0" wp14:anchorId="2633FB4F" wp14:editId="6273C3CF">
            <wp:extent cx="5710380" cy="4171233"/>
            <wp:effectExtent l="0" t="0" r="5080" b="127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556" cy="4176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C76812" w14:textId="77777777" w:rsidR="000B0B02" w:rsidRDefault="000B0B02" w:rsidP="000B0B02">
      <w:pPr>
        <w:rPr>
          <w:rFonts w:ascii="Arial Narrow" w:eastAsia="Times New Roman" w:hAnsi="Arial Narrow" w:cs="Arial"/>
          <w:sz w:val="20"/>
          <w:szCs w:val="20"/>
          <w:lang w:val="es-PE" w:eastAsia="en-US"/>
        </w:rPr>
      </w:pPr>
    </w:p>
    <w:p w14:paraId="5E7939C5" w14:textId="77777777" w:rsidR="00C06A4C" w:rsidRPr="00731BC7" w:rsidRDefault="00C06A4C">
      <w:pPr>
        <w:rPr>
          <w:rFonts w:ascii="Arial Narrow" w:eastAsia="Times New Roman" w:hAnsi="Arial Narrow" w:cs="Arial"/>
          <w:sz w:val="20"/>
          <w:szCs w:val="20"/>
          <w:lang w:val="es-PE" w:eastAsia="en-US"/>
        </w:rPr>
      </w:pPr>
    </w:p>
    <w:p w14:paraId="32E023B1" w14:textId="00F18E48" w:rsidR="00D61FB8" w:rsidRDefault="00401E0F" w:rsidP="00D61FB8">
      <w:pPr>
        <w:numPr>
          <w:ilvl w:val="0"/>
          <w:numId w:val="13"/>
        </w:numPr>
        <w:ind w:left="284" w:hanging="284"/>
        <w:contextualSpacing/>
        <w:jc w:val="both"/>
        <w:rPr>
          <w:rFonts w:ascii="Arial Narrow" w:hAnsi="Arial Narrow"/>
          <w:b/>
          <w:sz w:val="21"/>
          <w:szCs w:val="21"/>
          <w:lang w:val="es-PE"/>
        </w:rPr>
      </w:pPr>
      <w:r>
        <w:rPr>
          <w:rFonts w:ascii="Arial Narrow" w:hAnsi="Arial Narrow"/>
          <w:b/>
          <w:sz w:val="21"/>
          <w:szCs w:val="21"/>
          <w:lang w:val="es-PE"/>
        </w:rPr>
        <w:t>ANEXOS</w:t>
      </w:r>
    </w:p>
    <w:p w14:paraId="5BC5F9B1" w14:textId="3F2EDDCB" w:rsidR="00D61FB8" w:rsidRPr="00E8436E" w:rsidRDefault="00E8436E" w:rsidP="00D61FB8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E8436E">
        <w:rPr>
          <w:rFonts w:ascii="Arial Narrow" w:hAnsi="Arial Narrow"/>
          <w:sz w:val="21"/>
          <w:szCs w:val="21"/>
          <w:lang w:val="es-PE"/>
        </w:rPr>
        <w:t>Se adjunta al presente informe el Anexo 01, correspondiente al cronograma de ejecución de intervenciones.</w:t>
      </w:r>
    </w:p>
    <w:p w14:paraId="4EE6D671" w14:textId="77777777" w:rsidR="00401E0F" w:rsidRPr="00E8436E" w:rsidRDefault="00401E0F" w:rsidP="00D61FB8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555"/>
        <w:gridCol w:w="6933"/>
      </w:tblGrid>
      <w:tr w:rsidR="00E8436E" w:rsidRPr="00E8436E" w14:paraId="29893EDC" w14:textId="77777777" w:rsidTr="00731BC7">
        <w:trPr>
          <w:trHeight w:val="349"/>
        </w:trPr>
        <w:tc>
          <w:tcPr>
            <w:tcW w:w="8488" w:type="dxa"/>
            <w:gridSpan w:val="2"/>
            <w:vAlign w:val="center"/>
          </w:tcPr>
          <w:p w14:paraId="5608C563" w14:textId="7FCDD3F4" w:rsidR="00BB4B66" w:rsidRPr="00E8436E" w:rsidRDefault="00BB4B66" w:rsidP="00BB4B66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E8436E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Lista de anexos</w:t>
            </w:r>
          </w:p>
        </w:tc>
      </w:tr>
      <w:tr w:rsidR="00E8436E" w:rsidRPr="00E8436E" w14:paraId="1C864A5B" w14:textId="77777777" w:rsidTr="00552C66">
        <w:trPr>
          <w:trHeight w:val="421"/>
        </w:trPr>
        <w:tc>
          <w:tcPr>
            <w:tcW w:w="1555" w:type="dxa"/>
            <w:vAlign w:val="center"/>
          </w:tcPr>
          <w:p w14:paraId="113D33E0" w14:textId="3A45F0ED" w:rsidR="00BB4B66" w:rsidRPr="00E8436E" w:rsidRDefault="00501712" w:rsidP="00BB4B66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E8436E">
              <w:rPr>
                <w:rFonts w:asciiTheme="majorHAnsi" w:hAnsiTheme="majorHAnsi" w:cstheme="majorHAnsi"/>
                <w:sz w:val="18"/>
                <w:szCs w:val="18"/>
              </w:rPr>
              <w:t>Anexo 01</w:t>
            </w:r>
          </w:p>
        </w:tc>
        <w:tc>
          <w:tcPr>
            <w:tcW w:w="6933" w:type="dxa"/>
            <w:vAlign w:val="center"/>
          </w:tcPr>
          <w:p w14:paraId="73FBC375" w14:textId="0625F3E2" w:rsidR="00BB4B66" w:rsidRPr="00E8436E" w:rsidRDefault="00552C66" w:rsidP="00CB7F0A">
            <w:pPr>
              <w:pStyle w:val="Default"/>
              <w:rPr>
                <w:rFonts w:asciiTheme="majorHAnsi" w:hAnsiTheme="majorHAnsi" w:cstheme="majorHAnsi"/>
                <w:color w:val="auto"/>
                <w:sz w:val="18"/>
                <w:szCs w:val="18"/>
              </w:rPr>
            </w:pPr>
            <w:r w:rsidRPr="00E8436E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>Cronograma de ejecución de las intervenciones</w:t>
            </w:r>
            <w:r w:rsidR="00866F00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 xml:space="preserve"> – PLIA 2025</w:t>
            </w:r>
            <w:r w:rsidR="00CB7F0A" w:rsidRPr="00E8436E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>.</w:t>
            </w:r>
            <w:r w:rsidRPr="00E8436E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 xml:space="preserve"> </w:t>
            </w:r>
            <w:r w:rsidR="00E23920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>Ju</w:t>
            </w:r>
            <w:r w:rsidR="00DD7863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>l</w:t>
            </w:r>
            <w:r w:rsidR="00E23920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>io</w:t>
            </w:r>
            <w:r w:rsidR="0077104A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 xml:space="preserve"> 2025</w:t>
            </w:r>
          </w:p>
        </w:tc>
      </w:tr>
    </w:tbl>
    <w:p w14:paraId="51A9950A" w14:textId="77777777" w:rsidR="00E8436E" w:rsidRDefault="00E8436E" w:rsidP="00731BC7">
      <w:pPr>
        <w:contextualSpacing/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</w:p>
    <w:p w14:paraId="0AA44872" w14:textId="77777777" w:rsidR="001D05D2" w:rsidRDefault="001D05D2" w:rsidP="00731BC7">
      <w:pPr>
        <w:contextualSpacing/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</w:p>
    <w:sectPr w:rsidR="001D05D2" w:rsidSect="002E4B5F">
      <w:headerReference w:type="default" r:id="rId12"/>
      <w:footerReference w:type="default" r:id="rId13"/>
      <w:pgSz w:w="11906" w:h="16838" w:code="9"/>
      <w:pgMar w:top="1843" w:right="1274" w:bottom="1843" w:left="1701" w:header="142" w:footer="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BE492E" w14:textId="77777777" w:rsidR="007D1464" w:rsidRDefault="007D1464" w:rsidP="00C5698F">
      <w:r>
        <w:separator/>
      </w:r>
    </w:p>
  </w:endnote>
  <w:endnote w:type="continuationSeparator" w:id="0">
    <w:p w14:paraId="36F07153" w14:textId="77777777" w:rsidR="007D1464" w:rsidRDefault="007D1464" w:rsidP="00C569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B2C5AB" w14:textId="5474627B" w:rsidR="007A28AA" w:rsidRDefault="007A28AA">
    <w:pPr>
      <w:tabs>
        <w:tab w:val="center" w:pos="4550"/>
        <w:tab w:val="left" w:pos="5818"/>
      </w:tabs>
      <w:ind w:right="260"/>
      <w:jc w:val="right"/>
      <w:rPr>
        <w:color w:val="17365D" w:themeColor="text2" w:themeShade="BF"/>
      </w:rPr>
    </w:pPr>
    <w:r>
      <w:rPr>
        <w:color w:val="17365D" w:themeColor="text2" w:themeShade="BF"/>
      </w:rPr>
      <w:fldChar w:fldCharType="begin"/>
    </w:r>
    <w:r>
      <w:rPr>
        <w:color w:val="17365D" w:themeColor="text2" w:themeShade="BF"/>
      </w:rPr>
      <w:instrText>PAGE   \* MERGEFORMAT</w:instrText>
    </w:r>
    <w:r>
      <w:rPr>
        <w:color w:val="17365D" w:themeColor="text2" w:themeShade="BF"/>
      </w:rPr>
      <w:fldChar w:fldCharType="separate"/>
    </w:r>
    <w:r>
      <w:rPr>
        <w:color w:val="17365D" w:themeColor="text2" w:themeShade="BF"/>
        <w:lang w:val="es-ES"/>
      </w:rPr>
      <w:t>1</w:t>
    </w:r>
    <w:r>
      <w:rPr>
        <w:color w:val="17365D" w:themeColor="text2" w:themeShade="BF"/>
      </w:rPr>
      <w:fldChar w:fldCharType="end"/>
    </w:r>
    <w:r>
      <w:rPr>
        <w:color w:val="17365D" w:themeColor="text2" w:themeShade="BF"/>
        <w:lang w:val="es-ES"/>
      </w:rPr>
      <w:t xml:space="preserve"> | </w:t>
    </w:r>
    <w:r>
      <w:rPr>
        <w:color w:val="17365D" w:themeColor="text2" w:themeShade="BF"/>
      </w:rPr>
      <w:fldChar w:fldCharType="begin"/>
    </w:r>
    <w:r>
      <w:rPr>
        <w:color w:val="17365D" w:themeColor="text2" w:themeShade="BF"/>
      </w:rPr>
      <w:instrText>NUMPAGES  \* Arabic  \* MERGEFORMAT</w:instrText>
    </w:r>
    <w:r>
      <w:rPr>
        <w:color w:val="17365D" w:themeColor="text2" w:themeShade="BF"/>
      </w:rPr>
      <w:fldChar w:fldCharType="separate"/>
    </w:r>
    <w:r>
      <w:rPr>
        <w:color w:val="17365D" w:themeColor="text2" w:themeShade="BF"/>
        <w:lang w:val="es-ES"/>
      </w:rPr>
      <w:t>1</w:t>
    </w:r>
    <w:r>
      <w:rPr>
        <w:color w:val="17365D" w:themeColor="text2" w:themeShade="BF"/>
      </w:rPr>
      <w:fldChar w:fldCharType="end"/>
    </w:r>
  </w:p>
  <w:p w14:paraId="622B60C0" w14:textId="77777777" w:rsidR="006010F9" w:rsidRDefault="006010F9">
    <w:pPr>
      <w:tabs>
        <w:tab w:val="center" w:pos="4550"/>
        <w:tab w:val="left" w:pos="5818"/>
      </w:tabs>
      <w:ind w:right="260"/>
      <w:jc w:val="right"/>
      <w:rPr>
        <w:color w:val="0F243E" w:themeColor="text2" w:themeShade="80"/>
      </w:rPr>
    </w:pPr>
  </w:p>
  <w:p w14:paraId="2C5CE1A7" w14:textId="77777777" w:rsidR="007A28AA" w:rsidRDefault="007A28A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AB4C1C" w14:textId="77777777" w:rsidR="007D1464" w:rsidRDefault="007D1464" w:rsidP="00C5698F">
      <w:r>
        <w:separator/>
      </w:r>
    </w:p>
  </w:footnote>
  <w:footnote w:type="continuationSeparator" w:id="0">
    <w:p w14:paraId="1F278D36" w14:textId="77777777" w:rsidR="007D1464" w:rsidRDefault="007D1464" w:rsidP="00C569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67EDF6" w14:textId="7ED5CBB4" w:rsidR="009E6CA0" w:rsidRPr="009E6CA0" w:rsidRDefault="009E6CA0" w:rsidP="007770E9">
    <w:pPr>
      <w:pStyle w:val="Encabezado"/>
      <w:ind w:left="708"/>
      <w:rPr>
        <w:sz w:val="18"/>
        <w:szCs w:val="18"/>
      </w:rPr>
    </w:pPr>
  </w:p>
  <w:tbl>
    <w:tblPr>
      <w:tblStyle w:val="Tablaconcuadrcula"/>
      <w:tblW w:w="7234" w:type="dxa"/>
      <w:tblInd w:w="-57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4"/>
      <w:gridCol w:w="704"/>
      <w:gridCol w:w="57"/>
      <w:gridCol w:w="1799"/>
      <w:gridCol w:w="57"/>
      <w:gridCol w:w="1928"/>
      <w:gridCol w:w="57"/>
      <w:gridCol w:w="1928"/>
    </w:tblGrid>
    <w:tr w:rsidR="00304F7E" w14:paraId="4B05BB5C" w14:textId="77777777" w:rsidTr="00334C42">
      <w:trPr>
        <w:trHeight w:hRule="exact" w:val="737"/>
      </w:trPr>
      <w:tc>
        <w:tcPr>
          <w:tcW w:w="704" w:type="dxa"/>
          <w:vAlign w:val="center"/>
        </w:tcPr>
        <w:p w14:paraId="4C88EDBB" w14:textId="77777777" w:rsidR="00304F7E" w:rsidRDefault="00304F7E" w:rsidP="00304F7E">
          <w:pPr>
            <w:pStyle w:val="Ttulo"/>
            <w:jc w:val="left"/>
            <w:rPr>
              <w:rFonts w:asciiTheme="minorHAnsi" w:hAnsiTheme="minorHAnsi"/>
              <w:b w:val="0"/>
              <w:noProof/>
              <w:color w:val="808080"/>
              <w:sz w:val="18"/>
              <w:szCs w:val="22"/>
              <w:lang w:val="es-PE"/>
            </w:rPr>
          </w:pPr>
          <w:bookmarkStart w:id="11" w:name="_Hlk65788015"/>
          <w:r>
            <w:rPr>
              <w:noProof/>
            </w:rPr>
            <w:drawing>
              <wp:inline distT="0" distB="0" distL="0" distR="0" wp14:anchorId="35F19B07" wp14:editId="12499D04">
                <wp:extent cx="366488" cy="468000"/>
                <wp:effectExtent l="0" t="0" r="0" b="8255"/>
                <wp:docPr id="6" name="Imagen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66488" cy="46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04" w:type="dxa"/>
          <w:shd w:val="clear" w:color="auto" w:fill="FF0000"/>
          <w:vAlign w:val="center"/>
        </w:tcPr>
        <w:p w14:paraId="3C14EA89" w14:textId="77777777" w:rsidR="00304F7E" w:rsidRPr="00304F7E" w:rsidRDefault="00304F7E" w:rsidP="00304F7E">
          <w:pPr>
            <w:pStyle w:val="Ttulo"/>
            <w:rPr>
              <w:rFonts w:ascii="Calibri" w:hAnsi="Calibri" w:cs="Calibri"/>
              <w:b w:val="0"/>
              <w:noProof/>
              <w:color w:val="FFFFFF" w:themeColor="background1"/>
              <w:szCs w:val="32"/>
              <w:lang w:val="es-PE"/>
            </w:rPr>
          </w:pPr>
          <w:r w:rsidRPr="00304F7E">
            <w:rPr>
              <w:rFonts w:ascii="Calibri" w:hAnsi="Calibri" w:cs="Calibri"/>
              <w:b w:val="0"/>
              <w:noProof/>
              <w:color w:val="FFFFFF" w:themeColor="background1"/>
              <w:sz w:val="28"/>
              <w:szCs w:val="36"/>
              <w:lang w:val="es-PE"/>
            </w:rPr>
            <w:t>PERÚ</w:t>
          </w:r>
        </w:p>
      </w:tc>
      <w:tc>
        <w:tcPr>
          <w:tcW w:w="57" w:type="dxa"/>
          <w:shd w:val="clear" w:color="auto" w:fill="auto"/>
          <w:vAlign w:val="center"/>
        </w:tcPr>
        <w:p w14:paraId="09766E2D" w14:textId="77777777" w:rsidR="00304F7E" w:rsidRPr="00CC7CEB" w:rsidRDefault="00304F7E" w:rsidP="00304F7E">
          <w:pPr>
            <w:pStyle w:val="Ttulo"/>
            <w:jc w:val="left"/>
            <w:rPr>
              <w:rFonts w:asciiTheme="minorHAnsi" w:hAnsiTheme="minorHAnsi"/>
              <w:b w:val="0"/>
              <w:noProof/>
              <w:color w:val="FFFFFF" w:themeColor="background1"/>
              <w:sz w:val="8"/>
              <w:szCs w:val="12"/>
              <w:lang w:val="es-PE"/>
            </w:rPr>
          </w:pPr>
        </w:p>
      </w:tc>
      <w:tc>
        <w:tcPr>
          <w:tcW w:w="1799" w:type="dxa"/>
          <w:shd w:val="clear" w:color="auto" w:fill="404040" w:themeFill="text1" w:themeFillTint="BF"/>
          <w:vAlign w:val="center"/>
        </w:tcPr>
        <w:p w14:paraId="1F6D771C" w14:textId="77777777" w:rsidR="00304F7E" w:rsidRPr="00304F7E" w:rsidRDefault="00304F7E" w:rsidP="00304F7E">
          <w:pPr>
            <w:pStyle w:val="Ttulo"/>
            <w:jc w:val="left"/>
            <w:rPr>
              <w:rFonts w:ascii="Calibri" w:hAnsi="Calibri" w:cs="Calibri"/>
              <w:b w:val="0"/>
              <w:noProof/>
              <w:color w:val="FFFFFF" w:themeColor="background1"/>
              <w:sz w:val="16"/>
              <w:lang w:val="es-PE"/>
            </w:rPr>
          </w:pPr>
          <w:r w:rsidRPr="00304F7E">
            <w:rPr>
              <w:rFonts w:ascii="Calibri" w:hAnsi="Calibri" w:cs="Calibri"/>
              <w:b w:val="0"/>
              <w:noProof/>
              <w:color w:val="FFFFFF" w:themeColor="background1"/>
              <w:sz w:val="16"/>
              <w:lang w:val="es-PE"/>
            </w:rPr>
            <w:t xml:space="preserve">  Presidencia </w:t>
          </w:r>
        </w:p>
        <w:p w14:paraId="457F40F1" w14:textId="77777777" w:rsidR="00304F7E" w:rsidRPr="00304F7E" w:rsidRDefault="00304F7E" w:rsidP="00304F7E">
          <w:pPr>
            <w:pStyle w:val="Ttulo"/>
            <w:jc w:val="left"/>
            <w:rPr>
              <w:rFonts w:ascii="Calibri" w:hAnsi="Calibri" w:cs="Calibri"/>
              <w:b w:val="0"/>
              <w:noProof/>
              <w:color w:val="808080"/>
              <w:sz w:val="18"/>
              <w:szCs w:val="22"/>
              <w:lang w:val="es-PE"/>
            </w:rPr>
          </w:pPr>
          <w:r w:rsidRPr="00304F7E">
            <w:rPr>
              <w:rFonts w:ascii="Calibri" w:hAnsi="Calibri" w:cs="Calibri"/>
              <w:b w:val="0"/>
              <w:noProof/>
              <w:color w:val="FFFFFF" w:themeColor="background1"/>
              <w:sz w:val="16"/>
              <w:lang w:val="es-PE"/>
            </w:rPr>
            <w:t xml:space="preserve">  del Consejo de Ministros</w:t>
          </w:r>
        </w:p>
      </w:tc>
      <w:tc>
        <w:tcPr>
          <w:tcW w:w="57" w:type="dxa"/>
          <w:vAlign w:val="center"/>
        </w:tcPr>
        <w:p w14:paraId="3DEB3A3D" w14:textId="77777777" w:rsidR="00304F7E" w:rsidRPr="00CC7CEB" w:rsidRDefault="00304F7E" w:rsidP="00304F7E">
          <w:pPr>
            <w:pStyle w:val="Ttulo"/>
            <w:jc w:val="left"/>
            <w:rPr>
              <w:rFonts w:asciiTheme="minorHAnsi" w:hAnsiTheme="minorHAnsi"/>
              <w:b w:val="0"/>
              <w:noProof/>
              <w:color w:val="808080"/>
              <w:sz w:val="16"/>
              <w:lang w:val="es-PE"/>
            </w:rPr>
          </w:pPr>
        </w:p>
      </w:tc>
      <w:tc>
        <w:tcPr>
          <w:tcW w:w="1928" w:type="dxa"/>
          <w:shd w:val="clear" w:color="auto" w:fill="7F7F7F" w:themeFill="text1" w:themeFillTint="80"/>
          <w:vAlign w:val="center"/>
        </w:tcPr>
        <w:p w14:paraId="04260417" w14:textId="77777777" w:rsidR="00304F7E" w:rsidRPr="00435860" w:rsidRDefault="00304F7E" w:rsidP="00304F7E">
          <w:pPr>
            <w:pStyle w:val="Ttulo"/>
            <w:ind w:left="90" w:right="99"/>
            <w:jc w:val="left"/>
            <w:rPr>
              <w:rFonts w:ascii="Calibri" w:hAnsi="Calibri" w:cs="Calibri"/>
              <w:b w:val="0"/>
              <w:noProof/>
              <w:color w:val="808080"/>
              <w:sz w:val="14"/>
              <w:szCs w:val="14"/>
              <w:lang w:val="es-PE"/>
            </w:rPr>
          </w:pPr>
          <w:r w:rsidRPr="00435860">
            <w:rPr>
              <w:rFonts w:ascii="Calibri" w:hAnsi="Calibri" w:cs="Calibri"/>
              <w:noProof/>
              <w:color w:val="FFFFFF" w:themeColor="background1"/>
              <w:sz w:val="14"/>
              <w:szCs w:val="14"/>
            </w:rPr>
            <w:t>Despacho Viceministerial de Gobernanza Territorial</w:t>
          </w:r>
        </w:p>
      </w:tc>
      <w:tc>
        <w:tcPr>
          <w:tcW w:w="57" w:type="dxa"/>
          <w:vAlign w:val="center"/>
        </w:tcPr>
        <w:p w14:paraId="4177963C" w14:textId="77777777" w:rsidR="00304F7E" w:rsidRDefault="00304F7E" w:rsidP="00304F7E">
          <w:pPr>
            <w:pStyle w:val="Ttulo"/>
            <w:jc w:val="left"/>
            <w:rPr>
              <w:rFonts w:asciiTheme="minorHAnsi" w:hAnsiTheme="minorHAnsi"/>
              <w:b w:val="0"/>
              <w:noProof/>
              <w:color w:val="808080"/>
              <w:sz w:val="18"/>
              <w:szCs w:val="22"/>
              <w:lang w:val="es-PE"/>
            </w:rPr>
          </w:pPr>
        </w:p>
      </w:tc>
      <w:tc>
        <w:tcPr>
          <w:tcW w:w="1928" w:type="dxa"/>
          <w:shd w:val="clear" w:color="auto" w:fill="BFBFBF" w:themeFill="background1" w:themeFillShade="BF"/>
          <w:vAlign w:val="center"/>
        </w:tcPr>
        <w:p w14:paraId="23CB5843" w14:textId="77777777" w:rsidR="00304F7E" w:rsidRPr="00435860" w:rsidRDefault="00304F7E" w:rsidP="00304F7E">
          <w:pPr>
            <w:pStyle w:val="Sinespaciado"/>
            <w:ind w:left="125" w:right="79"/>
            <w:rPr>
              <w:b/>
              <w:sz w:val="14"/>
              <w:szCs w:val="14"/>
            </w:rPr>
          </w:pPr>
          <w:r w:rsidRPr="00435860">
            <w:rPr>
              <w:noProof/>
              <w:sz w:val="14"/>
              <w:szCs w:val="14"/>
            </w:rPr>
            <w:t>Secretaría de Gestión del Riesgo de Desastres</w:t>
          </w:r>
        </w:p>
      </w:tc>
    </w:tr>
  </w:tbl>
  <w:bookmarkEnd w:id="11"/>
  <w:p w14:paraId="738836A4" w14:textId="77777777" w:rsidR="00966C32" w:rsidRPr="00966C32" w:rsidRDefault="00966C32" w:rsidP="00966C32">
    <w:pPr>
      <w:pStyle w:val="Ttulo"/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</w:pPr>
    <w:r w:rsidRPr="00966C32"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  <w:t>"Decenio de la Igualdad de Oportunidades para Mujeres y Hombres"</w:t>
    </w:r>
  </w:p>
  <w:p w14:paraId="4BA51741" w14:textId="77777777" w:rsidR="00966C32" w:rsidRPr="00966C32" w:rsidRDefault="00966C32" w:rsidP="00966C32">
    <w:pPr>
      <w:pStyle w:val="Ttulo"/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</w:pPr>
    <w:r w:rsidRPr="00966C32"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  <w:t>Año de la recuperación y consolidación de la economía peruana</w:t>
    </w:r>
  </w:p>
  <w:p w14:paraId="6E13F5CB" w14:textId="177A0530" w:rsidR="006E7504" w:rsidRDefault="00966C32" w:rsidP="00966C32">
    <w:pPr>
      <w:pStyle w:val="Ttulo"/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</w:pPr>
    <w:r w:rsidRPr="00966C32"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  <w:t>“Año del Bicentenario del Congreso de la República del Perú”</w:t>
    </w:r>
  </w:p>
  <w:p w14:paraId="5880B23D" w14:textId="77777777" w:rsidR="00E718F9" w:rsidRDefault="00E718F9" w:rsidP="00966C32">
    <w:pPr>
      <w:pStyle w:val="Ttulo"/>
      <w:rPr>
        <w:rFonts w:asciiTheme="minorHAnsi" w:hAnsiTheme="minorHAnsi"/>
        <w:b w:val="0"/>
        <w:i/>
        <w:color w:val="808080"/>
        <w:sz w:val="18"/>
        <w:szCs w:val="22"/>
        <w:lang w:val="es-P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33F36"/>
    <w:multiLevelType w:val="multilevel"/>
    <w:tmpl w:val="7C30D3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440"/>
      </w:pPr>
      <w:rPr>
        <w:rFonts w:hint="default"/>
      </w:rPr>
    </w:lvl>
  </w:abstractNum>
  <w:abstractNum w:abstractNumId="1" w15:restartNumberingAfterBreak="0">
    <w:nsid w:val="029A6F34"/>
    <w:multiLevelType w:val="multilevel"/>
    <w:tmpl w:val="28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0B7F2E97"/>
    <w:multiLevelType w:val="hybridMultilevel"/>
    <w:tmpl w:val="3BDA7E1C"/>
    <w:lvl w:ilvl="0" w:tplc="0C0A0013">
      <w:start w:val="1"/>
      <w:numFmt w:val="upperRoman"/>
      <w:lvlText w:val="%1."/>
      <w:lvlJc w:val="righ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125A16"/>
    <w:multiLevelType w:val="hybridMultilevel"/>
    <w:tmpl w:val="F8187520"/>
    <w:lvl w:ilvl="0" w:tplc="C22A692A">
      <w:start w:val="1"/>
      <w:numFmt w:val="lowerLetter"/>
      <w:lvlText w:val="%1."/>
      <w:lvlJc w:val="left"/>
      <w:pPr>
        <w:ind w:left="0" w:firstLine="0"/>
      </w:pPr>
      <w:rPr>
        <w:rFonts w:hint="default"/>
        <w:color w:val="auto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146449"/>
    <w:multiLevelType w:val="hybridMultilevel"/>
    <w:tmpl w:val="A6D4BB58"/>
    <w:lvl w:ilvl="0" w:tplc="3F061824"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theme="minorBidi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61394C"/>
    <w:multiLevelType w:val="multilevel"/>
    <w:tmpl w:val="28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1E87A3B7"/>
    <w:multiLevelType w:val="hybridMultilevel"/>
    <w:tmpl w:val="94561678"/>
    <w:lvl w:ilvl="0" w:tplc="280A0019">
      <w:start w:val="1"/>
      <w:numFmt w:val="lowerLetter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21422224"/>
    <w:multiLevelType w:val="hybridMultilevel"/>
    <w:tmpl w:val="14D8F78A"/>
    <w:lvl w:ilvl="0" w:tplc="0C0A0013">
      <w:start w:val="1"/>
      <w:numFmt w:val="upperRoman"/>
      <w:lvlText w:val="%1."/>
      <w:lvlJc w:val="righ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483F75"/>
    <w:multiLevelType w:val="hybridMultilevel"/>
    <w:tmpl w:val="CA14D54A"/>
    <w:lvl w:ilvl="0" w:tplc="BDC6D11C">
      <w:start w:val="2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theme="minorBidi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DC69C0"/>
    <w:multiLevelType w:val="hybridMultilevel"/>
    <w:tmpl w:val="5A584704"/>
    <w:lvl w:ilvl="0" w:tplc="D8FE15C4">
      <w:start w:val="1"/>
      <w:numFmt w:val="decimal"/>
      <w:lvlText w:val="%1.-"/>
      <w:lvlJc w:val="left"/>
      <w:pPr>
        <w:ind w:left="360" w:hanging="360"/>
      </w:pPr>
      <w:rPr>
        <w:rFonts w:hint="default"/>
      </w:rPr>
    </w:lvl>
    <w:lvl w:ilvl="1" w:tplc="2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7E37824"/>
    <w:multiLevelType w:val="hybridMultilevel"/>
    <w:tmpl w:val="6F6024BA"/>
    <w:lvl w:ilvl="0" w:tplc="84CE50DC">
      <w:start w:val="1"/>
      <w:numFmt w:val="lowerLetter"/>
      <w:lvlText w:val="%1."/>
      <w:lvlJc w:val="left"/>
      <w:pPr>
        <w:ind w:left="360" w:hanging="360"/>
      </w:pPr>
      <w:rPr>
        <w:rFonts w:eastAsia="Calibri" w:hint="default"/>
        <w:sz w:val="22"/>
      </w:rPr>
    </w:lvl>
    <w:lvl w:ilvl="1" w:tplc="280A0019" w:tentative="1">
      <w:start w:val="1"/>
      <w:numFmt w:val="lowerLetter"/>
      <w:lvlText w:val="%2."/>
      <w:lvlJc w:val="left"/>
      <w:pPr>
        <w:ind w:left="1080" w:hanging="360"/>
      </w:pPr>
    </w:lvl>
    <w:lvl w:ilvl="2" w:tplc="280A001B" w:tentative="1">
      <w:start w:val="1"/>
      <w:numFmt w:val="lowerRoman"/>
      <w:lvlText w:val="%3."/>
      <w:lvlJc w:val="right"/>
      <w:pPr>
        <w:ind w:left="1800" w:hanging="180"/>
      </w:pPr>
    </w:lvl>
    <w:lvl w:ilvl="3" w:tplc="280A000F" w:tentative="1">
      <w:start w:val="1"/>
      <w:numFmt w:val="decimal"/>
      <w:lvlText w:val="%4."/>
      <w:lvlJc w:val="left"/>
      <w:pPr>
        <w:ind w:left="2520" w:hanging="360"/>
      </w:pPr>
    </w:lvl>
    <w:lvl w:ilvl="4" w:tplc="280A0019" w:tentative="1">
      <w:start w:val="1"/>
      <w:numFmt w:val="lowerLetter"/>
      <w:lvlText w:val="%5."/>
      <w:lvlJc w:val="left"/>
      <w:pPr>
        <w:ind w:left="3240" w:hanging="360"/>
      </w:pPr>
    </w:lvl>
    <w:lvl w:ilvl="5" w:tplc="280A001B" w:tentative="1">
      <w:start w:val="1"/>
      <w:numFmt w:val="lowerRoman"/>
      <w:lvlText w:val="%6."/>
      <w:lvlJc w:val="right"/>
      <w:pPr>
        <w:ind w:left="3960" w:hanging="180"/>
      </w:pPr>
    </w:lvl>
    <w:lvl w:ilvl="6" w:tplc="280A000F" w:tentative="1">
      <w:start w:val="1"/>
      <w:numFmt w:val="decimal"/>
      <w:lvlText w:val="%7."/>
      <w:lvlJc w:val="left"/>
      <w:pPr>
        <w:ind w:left="4680" w:hanging="360"/>
      </w:pPr>
    </w:lvl>
    <w:lvl w:ilvl="7" w:tplc="280A0019" w:tentative="1">
      <w:start w:val="1"/>
      <w:numFmt w:val="lowerLetter"/>
      <w:lvlText w:val="%8."/>
      <w:lvlJc w:val="left"/>
      <w:pPr>
        <w:ind w:left="5400" w:hanging="360"/>
      </w:pPr>
    </w:lvl>
    <w:lvl w:ilvl="8" w:tplc="2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A7742A1"/>
    <w:multiLevelType w:val="hybridMultilevel"/>
    <w:tmpl w:val="D7848CBE"/>
    <w:lvl w:ilvl="0" w:tplc="2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C305076"/>
    <w:multiLevelType w:val="hybridMultilevel"/>
    <w:tmpl w:val="59E4107E"/>
    <w:lvl w:ilvl="0" w:tplc="44D884EE">
      <w:start w:val="1"/>
      <w:numFmt w:val="upperRoman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A66692"/>
    <w:multiLevelType w:val="hybridMultilevel"/>
    <w:tmpl w:val="94448494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0D6F2C"/>
    <w:multiLevelType w:val="hybridMultilevel"/>
    <w:tmpl w:val="84C03ACA"/>
    <w:lvl w:ilvl="0" w:tplc="D8FE15C4">
      <w:start w:val="1"/>
      <w:numFmt w:val="decimal"/>
      <w:lvlText w:val="%1.-"/>
      <w:lvlJc w:val="left"/>
      <w:pPr>
        <w:ind w:left="360" w:hanging="360"/>
      </w:pPr>
      <w:rPr>
        <w:rFonts w:hint="default"/>
      </w:rPr>
    </w:lvl>
    <w:lvl w:ilvl="1" w:tplc="2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76943C4"/>
    <w:multiLevelType w:val="hybridMultilevel"/>
    <w:tmpl w:val="D3E2452A"/>
    <w:lvl w:ilvl="0" w:tplc="28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4AC831B5"/>
    <w:multiLevelType w:val="hybridMultilevel"/>
    <w:tmpl w:val="450EBFE2"/>
    <w:lvl w:ilvl="0" w:tplc="280A0019">
      <w:start w:val="1"/>
      <w:numFmt w:val="lowerLetter"/>
      <w:lvlText w:val="%1."/>
      <w:lvlJc w:val="left"/>
      <w:pPr>
        <w:ind w:left="1287" w:hanging="360"/>
      </w:pPr>
    </w:lvl>
    <w:lvl w:ilvl="1" w:tplc="280A0019" w:tentative="1">
      <w:start w:val="1"/>
      <w:numFmt w:val="lowerLetter"/>
      <w:lvlText w:val="%2."/>
      <w:lvlJc w:val="left"/>
      <w:pPr>
        <w:ind w:left="2007" w:hanging="360"/>
      </w:pPr>
    </w:lvl>
    <w:lvl w:ilvl="2" w:tplc="280A001B" w:tentative="1">
      <w:start w:val="1"/>
      <w:numFmt w:val="lowerRoman"/>
      <w:lvlText w:val="%3."/>
      <w:lvlJc w:val="right"/>
      <w:pPr>
        <w:ind w:left="2727" w:hanging="180"/>
      </w:pPr>
    </w:lvl>
    <w:lvl w:ilvl="3" w:tplc="280A000F" w:tentative="1">
      <w:start w:val="1"/>
      <w:numFmt w:val="decimal"/>
      <w:lvlText w:val="%4."/>
      <w:lvlJc w:val="left"/>
      <w:pPr>
        <w:ind w:left="3447" w:hanging="360"/>
      </w:pPr>
    </w:lvl>
    <w:lvl w:ilvl="4" w:tplc="280A0019" w:tentative="1">
      <w:start w:val="1"/>
      <w:numFmt w:val="lowerLetter"/>
      <w:lvlText w:val="%5."/>
      <w:lvlJc w:val="left"/>
      <w:pPr>
        <w:ind w:left="4167" w:hanging="360"/>
      </w:pPr>
    </w:lvl>
    <w:lvl w:ilvl="5" w:tplc="280A001B" w:tentative="1">
      <w:start w:val="1"/>
      <w:numFmt w:val="lowerRoman"/>
      <w:lvlText w:val="%6."/>
      <w:lvlJc w:val="right"/>
      <w:pPr>
        <w:ind w:left="4887" w:hanging="180"/>
      </w:pPr>
    </w:lvl>
    <w:lvl w:ilvl="6" w:tplc="280A000F" w:tentative="1">
      <w:start w:val="1"/>
      <w:numFmt w:val="decimal"/>
      <w:lvlText w:val="%7."/>
      <w:lvlJc w:val="left"/>
      <w:pPr>
        <w:ind w:left="5607" w:hanging="360"/>
      </w:pPr>
    </w:lvl>
    <w:lvl w:ilvl="7" w:tplc="280A0019" w:tentative="1">
      <w:start w:val="1"/>
      <w:numFmt w:val="lowerLetter"/>
      <w:lvlText w:val="%8."/>
      <w:lvlJc w:val="left"/>
      <w:pPr>
        <w:ind w:left="6327" w:hanging="360"/>
      </w:pPr>
    </w:lvl>
    <w:lvl w:ilvl="8" w:tplc="280A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" w15:restartNumberingAfterBreak="0">
    <w:nsid w:val="4E2C42F7"/>
    <w:multiLevelType w:val="hybridMultilevel"/>
    <w:tmpl w:val="05F87B12"/>
    <w:lvl w:ilvl="0" w:tplc="3ECECD0E">
      <w:start w:val="4"/>
      <w:numFmt w:val="bullet"/>
      <w:lvlText w:val="-"/>
      <w:lvlJc w:val="left"/>
      <w:pPr>
        <w:ind w:left="720" w:hanging="360"/>
      </w:pPr>
      <w:rPr>
        <w:rFonts w:ascii="Arial Narrow" w:eastAsia="Calibri" w:hAnsi="Arial Narrow" w:cs="Times New Roman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94C5D47"/>
    <w:multiLevelType w:val="hybridMultilevel"/>
    <w:tmpl w:val="4B2EADB4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F643C1"/>
    <w:multiLevelType w:val="hybridMultilevel"/>
    <w:tmpl w:val="1FA44D3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E724283"/>
    <w:multiLevelType w:val="hybridMultilevel"/>
    <w:tmpl w:val="A17CBC22"/>
    <w:lvl w:ilvl="0" w:tplc="280A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235478510">
    <w:abstractNumId w:val="19"/>
  </w:num>
  <w:num w:numId="2" w16cid:durableId="2037071484">
    <w:abstractNumId w:val="11"/>
  </w:num>
  <w:num w:numId="3" w16cid:durableId="1786078914">
    <w:abstractNumId w:val="15"/>
  </w:num>
  <w:num w:numId="4" w16cid:durableId="41830601">
    <w:abstractNumId w:val="14"/>
  </w:num>
  <w:num w:numId="5" w16cid:durableId="322272869">
    <w:abstractNumId w:val="9"/>
  </w:num>
  <w:num w:numId="6" w16cid:durableId="2065176818">
    <w:abstractNumId w:val="18"/>
  </w:num>
  <w:num w:numId="7" w16cid:durableId="2098745701">
    <w:abstractNumId w:val="13"/>
  </w:num>
  <w:num w:numId="8" w16cid:durableId="2099137442">
    <w:abstractNumId w:val="17"/>
  </w:num>
  <w:num w:numId="9" w16cid:durableId="1879514617">
    <w:abstractNumId w:val="10"/>
  </w:num>
  <w:num w:numId="10" w16cid:durableId="1995252082">
    <w:abstractNumId w:val="7"/>
  </w:num>
  <w:num w:numId="11" w16cid:durableId="1383553136">
    <w:abstractNumId w:val="2"/>
  </w:num>
  <w:num w:numId="12" w16cid:durableId="433404050">
    <w:abstractNumId w:val="12"/>
  </w:num>
  <w:num w:numId="13" w16cid:durableId="183246391">
    <w:abstractNumId w:val="0"/>
  </w:num>
  <w:num w:numId="14" w16cid:durableId="1836189578">
    <w:abstractNumId w:val="1"/>
  </w:num>
  <w:num w:numId="15" w16cid:durableId="77989585">
    <w:abstractNumId w:val="16"/>
  </w:num>
  <w:num w:numId="16" w16cid:durableId="176316409">
    <w:abstractNumId w:val="6"/>
  </w:num>
  <w:num w:numId="17" w16cid:durableId="1929384645">
    <w:abstractNumId w:val="3"/>
  </w:num>
  <w:num w:numId="18" w16cid:durableId="2060549671">
    <w:abstractNumId w:val="5"/>
  </w:num>
  <w:num w:numId="19" w16cid:durableId="1262567131">
    <w:abstractNumId w:val="20"/>
  </w:num>
  <w:num w:numId="20" w16cid:durableId="1759016022">
    <w:abstractNumId w:val="8"/>
  </w:num>
  <w:num w:numId="21" w16cid:durableId="18405378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698F"/>
    <w:rsid w:val="00002A9C"/>
    <w:rsid w:val="0000658C"/>
    <w:rsid w:val="000067D9"/>
    <w:rsid w:val="0001232D"/>
    <w:rsid w:val="00021BD7"/>
    <w:rsid w:val="00022507"/>
    <w:rsid w:val="00023AE4"/>
    <w:rsid w:val="00032395"/>
    <w:rsid w:val="00035729"/>
    <w:rsid w:val="000360B6"/>
    <w:rsid w:val="000403E4"/>
    <w:rsid w:val="00041A91"/>
    <w:rsid w:val="000456ED"/>
    <w:rsid w:val="0005317A"/>
    <w:rsid w:val="00057160"/>
    <w:rsid w:val="0006039E"/>
    <w:rsid w:val="0007068D"/>
    <w:rsid w:val="00071632"/>
    <w:rsid w:val="00071B18"/>
    <w:rsid w:val="0007339D"/>
    <w:rsid w:val="000753E4"/>
    <w:rsid w:val="00076A05"/>
    <w:rsid w:val="00077450"/>
    <w:rsid w:val="00085AE3"/>
    <w:rsid w:val="000907DB"/>
    <w:rsid w:val="00092D4E"/>
    <w:rsid w:val="00094C02"/>
    <w:rsid w:val="00097E5A"/>
    <w:rsid w:val="000A07EF"/>
    <w:rsid w:val="000A1A3F"/>
    <w:rsid w:val="000A2864"/>
    <w:rsid w:val="000A34DE"/>
    <w:rsid w:val="000B059D"/>
    <w:rsid w:val="000B0B02"/>
    <w:rsid w:val="000C53E9"/>
    <w:rsid w:val="000C7014"/>
    <w:rsid w:val="000D3FF0"/>
    <w:rsid w:val="000D74FB"/>
    <w:rsid w:val="000E3E5C"/>
    <w:rsid w:val="000E6BFC"/>
    <w:rsid w:val="000F3141"/>
    <w:rsid w:val="000F5C82"/>
    <w:rsid w:val="00101170"/>
    <w:rsid w:val="00101C51"/>
    <w:rsid w:val="001040E7"/>
    <w:rsid w:val="00111190"/>
    <w:rsid w:val="00116314"/>
    <w:rsid w:val="001170ED"/>
    <w:rsid w:val="00117981"/>
    <w:rsid w:val="0012086E"/>
    <w:rsid w:val="001246C7"/>
    <w:rsid w:val="00124E97"/>
    <w:rsid w:val="0012602A"/>
    <w:rsid w:val="001331FF"/>
    <w:rsid w:val="00133DA4"/>
    <w:rsid w:val="00134680"/>
    <w:rsid w:val="00137860"/>
    <w:rsid w:val="0014239E"/>
    <w:rsid w:val="0014277E"/>
    <w:rsid w:val="001573FA"/>
    <w:rsid w:val="00160704"/>
    <w:rsid w:val="00166100"/>
    <w:rsid w:val="001677D7"/>
    <w:rsid w:val="001778C1"/>
    <w:rsid w:val="00180398"/>
    <w:rsid w:val="0018334C"/>
    <w:rsid w:val="0018477A"/>
    <w:rsid w:val="00187379"/>
    <w:rsid w:val="00192939"/>
    <w:rsid w:val="001A335B"/>
    <w:rsid w:val="001A7597"/>
    <w:rsid w:val="001B3862"/>
    <w:rsid w:val="001B3A84"/>
    <w:rsid w:val="001C2D96"/>
    <w:rsid w:val="001C7CA3"/>
    <w:rsid w:val="001D05D2"/>
    <w:rsid w:val="001D1CD0"/>
    <w:rsid w:val="001D4E34"/>
    <w:rsid w:val="001D5FA9"/>
    <w:rsid w:val="001E1C55"/>
    <w:rsid w:val="001E2748"/>
    <w:rsid w:val="001E3C40"/>
    <w:rsid w:val="001E779D"/>
    <w:rsid w:val="001F08BC"/>
    <w:rsid w:val="001F4211"/>
    <w:rsid w:val="001F5FD1"/>
    <w:rsid w:val="001F7DB3"/>
    <w:rsid w:val="002009DE"/>
    <w:rsid w:val="00201FE5"/>
    <w:rsid w:val="00202C53"/>
    <w:rsid w:val="0020413E"/>
    <w:rsid w:val="00205720"/>
    <w:rsid w:val="00211298"/>
    <w:rsid w:val="00213CA9"/>
    <w:rsid w:val="002152F6"/>
    <w:rsid w:val="00215AC3"/>
    <w:rsid w:val="00217F84"/>
    <w:rsid w:val="00222DB7"/>
    <w:rsid w:val="00232717"/>
    <w:rsid w:val="0023651E"/>
    <w:rsid w:val="00236BBE"/>
    <w:rsid w:val="00241A42"/>
    <w:rsid w:val="00243AF2"/>
    <w:rsid w:val="0025134E"/>
    <w:rsid w:val="0025397F"/>
    <w:rsid w:val="00254967"/>
    <w:rsid w:val="002560F5"/>
    <w:rsid w:val="00261087"/>
    <w:rsid w:val="00274C3F"/>
    <w:rsid w:val="00276ECF"/>
    <w:rsid w:val="00281BC6"/>
    <w:rsid w:val="00284DBA"/>
    <w:rsid w:val="002B477F"/>
    <w:rsid w:val="002B5419"/>
    <w:rsid w:val="002B5DC0"/>
    <w:rsid w:val="002C09DF"/>
    <w:rsid w:val="002C5F4F"/>
    <w:rsid w:val="002D32FD"/>
    <w:rsid w:val="002D4728"/>
    <w:rsid w:val="002D5F16"/>
    <w:rsid w:val="002E4B5F"/>
    <w:rsid w:val="002E5B15"/>
    <w:rsid w:val="002F34EC"/>
    <w:rsid w:val="002F57D2"/>
    <w:rsid w:val="002F5F3E"/>
    <w:rsid w:val="00300CED"/>
    <w:rsid w:val="0030361C"/>
    <w:rsid w:val="00303CB9"/>
    <w:rsid w:val="0030497A"/>
    <w:rsid w:val="00304F7E"/>
    <w:rsid w:val="00305709"/>
    <w:rsid w:val="0031586A"/>
    <w:rsid w:val="0032352E"/>
    <w:rsid w:val="0032761F"/>
    <w:rsid w:val="00327B0D"/>
    <w:rsid w:val="003305CD"/>
    <w:rsid w:val="003341F5"/>
    <w:rsid w:val="00334C42"/>
    <w:rsid w:val="00340A33"/>
    <w:rsid w:val="00343D7B"/>
    <w:rsid w:val="00346546"/>
    <w:rsid w:val="0034695A"/>
    <w:rsid w:val="00351337"/>
    <w:rsid w:val="0035198A"/>
    <w:rsid w:val="003527AD"/>
    <w:rsid w:val="00355DF4"/>
    <w:rsid w:val="00361FF0"/>
    <w:rsid w:val="00365848"/>
    <w:rsid w:val="00365F07"/>
    <w:rsid w:val="00367A61"/>
    <w:rsid w:val="00367B80"/>
    <w:rsid w:val="00372C8A"/>
    <w:rsid w:val="0037325D"/>
    <w:rsid w:val="00376D99"/>
    <w:rsid w:val="0038180E"/>
    <w:rsid w:val="00386379"/>
    <w:rsid w:val="0038752D"/>
    <w:rsid w:val="00387ADC"/>
    <w:rsid w:val="00387DF6"/>
    <w:rsid w:val="00390141"/>
    <w:rsid w:val="003A113C"/>
    <w:rsid w:val="003A154F"/>
    <w:rsid w:val="003A1B97"/>
    <w:rsid w:val="003A2A5D"/>
    <w:rsid w:val="003A67D6"/>
    <w:rsid w:val="003A7A5B"/>
    <w:rsid w:val="003B2234"/>
    <w:rsid w:val="003B4AD2"/>
    <w:rsid w:val="003B4C3D"/>
    <w:rsid w:val="003B5266"/>
    <w:rsid w:val="003B5C8E"/>
    <w:rsid w:val="003B668E"/>
    <w:rsid w:val="003C1EF4"/>
    <w:rsid w:val="003D024F"/>
    <w:rsid w:val="003D0406"/>
    <w:rsid w:val="003E17CF"/>
    <w:rsid w:val="003E26C8"/>
    <w:rsid w:val="003E6EEB"/>
    <w:rsid w:val="003F6DCB"/>
    <w:rsid w:val="003F7B6B"/>
    <w:rsid w:val="004010C4"/>
    <w:rsid w:val="00401E0F"/>
    <w:rsid w:val="00403509"/>
    <w:rsid w:val="00404AB6"/>
    <w:rsid w:val="00405DEF"/>
    <w:rsid w:val="0040662A"/>
    <w:rsid w:val="00410995"/>
    <w:rsid w:val="0041198B"/>
    <w:rsid w:val="0041402E"/>
    <w:rsid w:val="004141FC"/>
    <w:rsid w:val="0042090C"/>
    <w:rsid w:val="004256C9"/>
    <w:rsid w:val="004264B9"/>
    <w:rsid w:val="00427998"/>
    <w:rsid w:val="00427CAA"/>
    <w:rsid w:val="00432AC1"/>
    <w:rsid w:val="004332DD"/>
    <w:rsid w:val="00434229"/>
    <w:rsid w:val="0043790E"/>
    <w:rsid w:val="004432D6"/>
    <w:rsid w:val="00444F5C"/>
    <w:rsid w:val="0045131A"/>
    <w:rsid w:val="00453F4F"/>
    <w:rsid w:val="0045426E"/>
    <w:rsid w:val="00455627"/>
    <w:rsid w:val="00456184"/>
    <w:rsid w:val="00457FFD"/>
    <w:rsid w:val="00463662"/>
    <w:rsid w:val="00465723"/>
    <w:rsid w:val="00473493"/>
    <w:rsid w:val="00482CD7"/>
    <w:rsid w:val="0048592B"/>
    <w:rsid w:val="00486227"/>
    <w:rsid w:val="00486C45"/>
    <w:rsid w:val="00494D39"/>
    <w:rsid w:val="0049502F"/>
    <w:rsid w:val="004A28E3"/>
    <w:rsid w:val="004B1D77"/>
    <w:rsid w:val="004B3721"/>
    <w:rsid w:val="004B759B"/>
    <w:rsid w:val="004C6371"/>
    <w:rsid w:val="004C68D9"/>
    <w:rsid w:val="004C6BE1"/>
    <w:rsid w:val="004E4BD8"/>
    <w:rsid w:val="004E79CD"/>
    <w:rsid w:val="004F2034"/>
    <w:rsid w:val="004F52C3"/>
    <w:rsid w:val="004F6CF7"/>
    <w:rsid w:val="004F7E2F"/>
    <w:rsid w:val="00501712"/>
    <w:rsid w:val="00504365"/>
    <w:rsid w:val="005064D3"/>
    <w:rsid w:val="00506D09"/>
    <w:rsid w:val="00514609"/>
    <w:rsid w:val="0051528A"/>
    <w:rsid w:val="00516EB4"/>
    <w:rsid w:val="0052423D"/>
    <w:rsid w:val="00533C6B"/>
    <w:rsid w:val="0053633B"/>
    <w:rsid w:val="0053779A"/>
    <w:rsid w:val="00542405"/>
    <w:rsid w:val="005433B7"/>
    <w:rsid w:val="00545123"/>
    <w:rsid w:val="00546AD7"/>
    <w:rsid w:val="005506C0"/>
    <w:rsid w:val="00551B20"/>
    <w:rsid w:val="00552C66"/>
    <w:rsid w:val="00556558"/>
    <w:rsid w:val="00561151"/>
    <w:rsid w:val="00562ABD"/>
    <w:rsid w:val="00564052"/>
    <w:rsid w:val="005648E6"/>
    <w:rsid w:val="00565346"/>
    <w:rsid w:val="005659C9"/>
    <w:rsid w:val="0056787D"/>
    <w:rsid w:val="00570005"/>
    <w:rsid w:val="005842E2"/>
    <w:rsid w:val="0059432B"/>
    <w:rsid w:val="005A146E"/>
    <w:rsid w:val="005A7E3E"/>
    <w:rsid w:val="005B54E9"/>
    <w:rsid w:val="005C2003"/>
    <w:rsid w:val="005C3D63"/>
    <w:rsid w:val="005C5A66"/>
    <w:rsid w:val="005C7D96"/>
    <w:rsid w:val="005D0C17"/>
    <w:rsid w:val="005E66DA"/>
    <w:rsid w:val="005F6188"/>
    <w:rsid w:val="005F6988"/>
    <w:rsid w:val="005F6FCC"/>
    <w:rsid w:val="005F7CFD"/>
    <w:rsid w:val="006010F9"/>
    <w:rsid w:val="00604EE8"/>
    <w:rsid w:val="00610E3A"/>
    <w:rsid w:val="006146E0"/>
    <w:rsid w:val="0062647D"/>
    <w:rsid w:val="00630BB2"/>
    <w:rsid w:val="00630FE0"/>
    <w:rsid w:val="006326F5"/>
    <w:rsid w:val="00632FA4"/>
    <w:rsid w:val="00634586"/>
    <w:rsid w:val="00635653"/>
    <w:rsid w:val="0064263C"/>
    <w:rsid w:val="00647B1D"/>
    <w:rsid w:val="00652FD8"/>
    <w:rsid w:val="00653A43"/>
    <w:rsid w:val="0065440E"/>
    <w:rsid w:val="0065651C"/>
    <w:rsid w:val="006577FF"/>
    <w:rsid w:val="00660E2B"/>
    <w:rsid w:val="0066236E"/>
    <w:rsid w:val="00667739"/>
    <w:rsid w:val="00672884"/>
    <w:rsid w:val="006762DF"/>
    <w:rsid w:val="006772D9"/>
    <w:rsid w:val="0068312A"/>
    <w:rsid w:val="00686967"/>
    <w:rsid w:val="00695361"/>
    <w:rsid w:val="006954DF"/>
    <w:rsid w:val="00696185"/>
    <w:rsid w:val="006A1E8F"/>
    <w:rsid w:val="006A1F92"/>
    <w:rsid w:val="006A32A0"/>
    <w:rsid w:val="006A3E93"/>
    <w:rsid w:val="006B39EF"/>
    <w:rsid w:val="006B4DED"/>
    <w:rsid w:val="006B4FD2"/>
    <w:rsid w:val="006C07B2"/>
    <w:rsid w:val="006D654E"/>
    <w:rsid w:val="006D7EFA"/>
    <w:rsid w:val="006E04FB"/>
    <w:rsid w:val="006E24AD"/>
    <w:rsid w:val="006E3AF6"/>
    <w:rsid w:val="006E53A7"/>
    <w:rsid w:val="006E7504"/>
    <w:rsid w:val="006F1D34"/>
    <w:rsid w:val="006F2887"/>
    <w:rsid w:val="006F2A18"/>
    <w:rsid w:val="006F2A85"/>
    <w:rsid w:val="006F419D"/>
    <w:rsid w:val="0070002B"/>
    <w:rsid w:val="00700FA3"/>
    <w:rsid w:val="007012C9"/>
    <w:rsid w:val="0070167F"/>
    <w:rsid w:val="007016D2"/>
    <w:rsid w:val="0070327A"/>
    <w:rsid w:val="00705272"/>
    <w:rsid w:val="00720899"/>
    <w:rsid w:val="00722E8A"/>
    <w:rsid w:val="00731BC7"/>
    <w:rsid w:val="0073214F"/>
    <w:rsid w:val="007321EE"/>
    <w:rsid w:val="007331BB"/>
    <w:rsid w:val="00735F34"/>
    <w:rsid w:val="007436C2"/>
    <w:rsid w:val="00757CF5"/>
    <w:rsid w:val="00766D81"/>
    <w:rsid w:val="0077104A"/>
    <w:rsid w:val="00774357"/>
    <w:rsid w:val="00775EB4"/>
    <w:rsid w:val="007770E9"/>
    <w:rsid w:val="00780135"/>
    <w:rsid w:val="007806AC"/>
    <w:rsid w:val="00781573"/>
    <w:rsid w:val="007867DE"/>
    <w:rsid w:val="00790761"/>
    <w:rsid w:val="00791C7A"/>
    <w:rsid w:val="007937D5"/>
    <w:rsid w:val="007A2896"/>
    <w:rsid w:val="007A28AA"/>
    <w:rsid w:val="007A4A09"/>
    <w:rsid w:val="007A5FEB"/>
    <w:rsid w:val="007A6E46"/>
    <w:rsid w:val="007A7408"/>
    <w:rsid w:val="007B233E"/>
    <w:rsid w:val="007B23CF"/>
    <w:rsid w:val="007B2DB5"/>
    <w:rsid w:val="007C3499"/>
    <w:rsid w:val="007C43F8"/>
    <w:rsid w:val="007D1464"/>
    <w:rsid w:val="007D3713"/>
    <w:rsid w:val="007D6570"/>
    <w:rsid w:val="007E2352"/>
    <w:rsid w:val="007E2362"/>
    <w:rsid w:val="007E24A7"/>
    <w:rsid w:val="007E2D70"/>
    <w:rsid w:val="007E343E"/>
    <w:rsid w:val="007F3EC3"/>
    <w:rsid w:val="0080096E"/>
    <w:rsid w:val="00805167"/>
    <w:rsid w:val="008134E5"/>
    <w:rsid w:val="00815417"/>
    <w:rsid w:val="008229C1"/>
    <w:rsid w:val="00826602"/>
    <w:rsid w:val="008301D3"/>
    <w:rsid w:val="00832A57"/>
    <w:rsid w:val="00837289"/>
    <w:rsid w:val="00837EC0"/>
    <w:rsid w:val="00841C7F"/>
    <w:rsid w:val="00845EDF"/>
    <w:rsid w:val="00846A0F"/>
    <w:rsid w:val="00851002"/>
    <w:rsid w:val="00856D6C"/>
    <w:rsid w:val="00857A27"/>
    <w:rsid w:val="00861F93"/>
    <w:rsid w:val="0086421A"/>
    <w:rsid w:val="008645B6"/>
    <w:rsid w:val="00865063"/>
    <w:rsid w:val="0086578A"/>
    <w:rsid w:val="00866F00"/>
    <w:rsid w:val="00871A33"/>
    <w:rsid w:val="008771FF"/>
    <w:rsid w:val="008776B0"/>
    <w:rsid w:val="00884196"/>
    <w:rsid w:val="0088497B"/>
    <w:rsid w:val="00884B76"/>
    <w:rsid w:val="008913BD"/>
    <w:rsid w:val="00895D72"/>
    <w:rsid w:val="008A01F4"/>
    <w:rsid w:val="008B5763"/>
    <w:rsid w:val="008C35F7"/>
    <w:rsid w:val="008C4A80"/>
    <w:rsid w:val="008C4B2C"/>
    <w:rsid w:val="008C547C"/>
    <w:rsid w:val="008D4A96"/>
    <w:rsid w:val="008D5312"/>
    <w:rsid w:val="008E3384"/>
    <w:rsid w:val="008E3429"/>
    <w:rsid w:val="008E3FCB"/>
    <w:rsid w:val="008E663F"/>
    <w:rsid w:val="008E77C5"/>
    <w:rsid w:val="008F03FE"/>
    <w:rsid w:val="008F08A9"/>
    <w:rsid w:val="008F2BAB"/>
    <w:rsid w:val="008F45D2"/>
    <w:rsid w:val="00901EDE"/>
    <w:rsid w:val="009100B8"/>
    <w:rsid w:val="00911C24"/>
    <w:rsid w:val="00915DA7"/>
    <w:rsid w:val="00917379"/>
    <w:rsid w:val="00917896"/>
    <w:rsid w:val="00920F69"/>
    <w:rsid w:val="00922AAC"/>
    <w:rsid w:val="009236F7"/>
    <w:rsid w:val="009247D4"/>
    <w:rsid w:val="00926E22"/>
    <w:rsid w:val="00931322"/>
    <w:rsid w:val="00937EBB"/>
    <w:rsid w:val="009407C2"/>
    <w:rsid w:val="00941CB6"/>
    <w:rsid w:val="00943D19"/>
    <w:rsid w:val="00960377"/>
    <w:rsid w:val="00966C32"/>
    <w:rsid w:val="00967584"/>
    <w:rsid w:val="00987112"/>
    <w:rsid w:val="009878A3"/>
    <w:rsid w:val="00993798"/>
    <w:rsid w:val="0099698D"/>
    <w:rsid w:val="009A304A"/>
    <w:rsid w:val="009A7208"/>
    <w:rsid w:val="009A79E0"/>
    <w:rsid w:val="009B6232"/>
    <w:rsid w:val="009C3346"/>
    <w:rsid w:val="009C390C"/>
    <w:rsid w:val="009D5CFB"/>
    <w:rsid w:val="009D5F58"/>
    <w:rsid w:val="009E4200"/>
    <w:rsid w:val="009E6CA0"/>
    <w:rsid w:val="009F338E"/>
    <w:rsid w:val="00A042DE"/>
    <w:rsid w:val="00A108F6"/>
    <w:rsid w:val="00A16BBF"/>
    <w:rsid w:val="00A20D7D"/>
    <w:rsid w:val="00A21DC4"/>
    <w:rsid w:val="00A25249"/>
    <w:rsid w:val="00A276BF"/>
    <w:rsid w:val="00A35B23"/>
    <w:rsid w:val="00A430D2"/>
    <w:rsid w:val="00A5177F"/>
    <w:rsid w:val="00A532A1"/>
    <w:rsid w:val="00A636D9"/>
    <w:rsid w:val="00A64260"/>
    <w:rsid w:val="00A669CB"/>
    <w:rsid w:val="00A703D9"/>
    <w:rsid w:val="00A70703"/>
    <w:rsid w:val="00A70DA5"/>
    <w:rsid w:val="00A75FCA"/>
    <w:rsid w:val="00A82E6E"/>
    <w:rsid w:val="00A84FA3"/>
    <w:rsid w:val="00A85879"/>
    <w:rsid w:val="00A95C11"/>
    <w:rsid w:val="00A966DB"/>
    <w:rsid w:val="00A9731C"/>
    <w:rsid w:val="00A97616"/>
    <w:rsid w:val="00AA1164"/>
    <w:rsid w:val="00AA1C1F"/>
    <w:rsid w:val="00AA5033"/>
    <w:rsid w:val="00AB108A"/>
    <w:rsid w:val="00AB3E34"/>
    <w:rsid w:val="00AC2127"/>
    <w:rsid w:val="00AC2B45"/>
    <w:rsid w:val="00AC30A6"/>
    <w:rsid w:val="00AC650B"/>
    <w:rsid w:val="00AD0A38"/>
    <w:rsid w:val="00AD3258"/>
    <w:rsid w:val="00AE1441"/>
    <w:rsid w:val="00AE2C42"/>
    <w:rsid w:val="00AF0274"/>
    <w:rsid w:val="00AF2ADD"/>
    <w:rsid w:val="00AF7D06"/>
    <w:rsid w:val="00B0102B"/>
    <w:rsid w:val="00B02884"/>
    <w:rsid w:val="00B168D3"/>
    <w:rsid w:val="00B30CA8"/>
    <w:rsid w:val="00B32785"/>
    <w:rsid w:val="00B41E3B"/>
    <w:rsid w:val="00B432AA"/>
    <w:rsid w:val="00B44E93"/>
    <w:rsid w:val="00B552AF"/>
    <w:rsid w:val="00B5603B"/>
    <w:rsid w:val="00B6093C"/>
    <w:rsid w:val="00B654B3"/>
    <w:rsid w:val="00B659D8"/>
    <w:rsid w:val="00B668AA"/>
    <w:rsid w:val="00B76112"/>
    <w:rsid w:val="00B76D11"/>
    <w:rsid w:val="00B808FD"/>
    <w:rsid w:val="00B86921"/>
    <w:rsid w:val="00B951C9"/>
    <w:rsid w:val="00B97C1A"/>
    <w:rsid w:val="00BA26E5"/>
    <w:rsid w:val="00BA2BF9"/>
    <w:rsid w:val="00BA3489"/>
    <w:rsid w:val="00BA4DAD"/>
    <w:rsid w:val="00BB4B66"/>
    <w:rsid w:val="00BC0138"/>
    <w:rsid w:val="00BD5BFE"/>
    <w:rsid w:val="00BE1AFD"/>
    <w:rsid w:val="00BE1E6C"/>
    <w:rsid w:val="00BE22E7"/>
    <w:rsid w:val="00BE3193"/>
    <w:rsid w:val="00BE3444"/>
    <w:rsid w:val="00BF18E9"/>
    <w:rsid w:val="00BF578F"/>
    <w:rsid w:val="00C06A4C"/>
    <w:rsid w:val="00C10CBE"/>
    <w:rsid w:val="00C13D8B"/>
    <w:rsid w:val="00C20F64"/>
    <w:rsid w:val="00C211E0"/>
    <w:rsid w:val="00C2234B"/>
    <w:rsid w:val="00C3099F"/>
    <w:rsid w:val="00C30E20"/>
    <w:rsid w:val="00C3303A"/>
    <w:rsid w:val="00C36CE6"/>
    <w:rsid w:val="00C40503"/>
    <w:rsid w:val="00C415EA"/>
    <w:rsid w:val="00C50B2E"/>
    <w:rsid w:val="00C52165"/>
    <w:rsid w:val="00C5698F"/>
    <w:rsid w:val="00C617EA"/>
    <w:rsid w:val="00C61A6E"/>
    <w:rsid w:val="00C6234A"/>
    <w:rsid w:val="00C631CB"/>
    <w:rsid w:val="00C64CE9"/>
    <w:rsid w:val="00C6648C"/>
    <w:rsid w:val="00C752E5"/>
    <w:rsid w:val="00C91AA8"/>
    <w:rsid w:val="00C95D40"/>
    <w:rsid w:val="00CA2428"/>
    <w:rsid w:val="00CA2731"/>
    <w:rsid w:val="00CA6BF4"/>
    <w:rsid w:val="00CB2ACE"/>
    <w:rsid w:val="00CB4249"/>
    <w:rsid w:val="00CB5042"/>
    <w:rsid w:val="00CB7F0A"/>
    <w:rsid w:val="00CC057C"/>
    <w:rsid w:val="00CC2776"/>
    <w:rsid w:val="00CC2DB1"/>
    <w:rsid w:val="00CC43CB"/>
    <w:rsid w:val="00CC7CDD"/>
    <w:rsid w:val="00CD4B8E"/>
    <w:rsid w:val="00CD5140"/>
    <w:rsid w:val="00CE3689"/>
    <w:rsid w:val="00CF08F5"/>
    <w:rsid w:val="00CF168B"/>
    <w:rsid w:val="00CF2532"/>
    <w:rsid w:val="00CF536A"/>
    <w:rsid w:val="00D04EFF"/>
    <w:rsid w:val="00D06416"/>
    <w:rsid w:val="00D110F0"/>
    <w:rsid w:val="00D1521C"/>
    <w:rsid w:val="00D15C73"/>
    <w:rsid w:val="00D25179"/>
    <w:rsid w:val="00D25661"/>
    <w:rsid w:val="00D26BBC"/>
    <w:rsid w:val="00D30DB5"/>
    <w:rsid w:val="00D34194"/>
    <w:rsid w:val="00D41783"/>
    <w:rsid w:val="00D44CDC"/>
    <w:rsid w:val="00D4508C"/>
    <w:rsid w:val="00D57730"/>
    <w:rsid w:val="00D60237"/>
    <w:rsid w:val="00D611CB"/>
    <w:rsid w:val="00D6120B"/>
    <w:rsid w:val="00D61EB2"/>
    <w:rsid w:val="00D61FB8"/>
    <w:rsid w:val="00D6277A"/>
    <w:rsid w:val="00D62A7C"/>
    <w:rsid w:val="00D649D2"/>
    <w:rsid w:val="00D70A5C"/>
    <w:rsid w:val="00D72110"/>
    <w:rsid w:val="00D80C77"/>
    <w:rsid w:val="00D973CC"/>
    <w:rsid w:val="00DA1230"/>
    <w:rsid w:val="00DA392A"/>
    <w:rsid w:val="00DB5746"/>
    <w:rsid w:val="00DB6CC2"/>
    <w:rsid w:val="00DB7BB6"/>
    <w:rsid w:val="00DC204C"/>
    <w:rsid w:val="00DC2B99"/>
    <w:rsid w:val="00DC3B2F"/>
    <w:rsid w:val="00DC61BF"/>
    <w:rsid w:val="00DC6448"/>
    <w:rsid w:val="00DD2173"/>
    <w:rsid w:val="00DD2FA4"/>
    <w:rsid w:val="00DD3F4A"/>
    <w:rsid w:val="00DD7863"/>
    <w:rsid w:val="00DE380E"/>
    <w:rsid w:val="00DE701F"/>
    <w:rsid w:val="00DE76FD"/>
    <w:rsid w:val="00DF4E1F"/>
    <w:rsid w:val="00E0201D"/>
    <w:rsid w:val="00E0268F"/>
    <w:rsid w:val="00E07E99"/>
    <w:rsid w:val="00E12685"/>
    <w:rsid w:val="00E20B8D"/>
    <w:rsid w:val="00E23920"/>
    <w:rsid w:val="00E30695"/>
    <w:rsid w:val="00E349C0"/>
    <w:rsid w:val="00E4243E"/>
    <w:rsid w:val="00E43C1C"/>
    <w:rsid w:val="00E54755"/>
    <w:rsid w:val="00E60BE5"/>
    <w:rsid w:val="00E65D42"/>
    <w:rsid w:val="00E67864"/>
    <w:rsid w:val="00E718F9"/>
    <w:rsid w:val="00E71DD8"/>
    <w:rsid w:val="00E8436E"/>
    <w:rsid w:val="00E93AE4"/>
    <w:rsid w:val="00E955EF"/>
    <w:rsid w:val="00E956E9"/>
    <w:rsid w:val="00EA1376"/>
    <w:rsid w:val="00EA59A4"/>
    <w:rsid w:val="00EB1B34"/>
    <w:rsid w:val="00EC0ED5"/>
    <w:rsid w:val="00EC1550"/>
    <w:rsid w:val="00EC2E6F"/>
    <w:rsid w:val="00EC36EA"/>
    <w:rsid w:val="00EC4D0E"/>
    <w:rsid w:val="00EC59E1"/>
    <w:rsid w:val="00EF423A"/>
    <w:rsid w:val="00EF4592"/>
    <w:rsid w:val="00F07A73"/>
    <w:rsid w:val="00F161D1"/>
    <w:rsid w:val="00F1742C"/>
    <w:rsid w:val="00F24752"/>
    <w:rsid w:val="00F32337"/>
    <w:rsid w:val="00F3367A"/>
    <w:rsid w:val="00F337DA"/>
    <w:rsid w:val="00F34C3B"/>
    <w:rsid w:val="00F4078E"/>
    <w:rsid w:val="00F52EDB"/>
    <w:rsid w:val="00F57456"/>
    <w:rsid w:val="00F57A02"/>
    <w:rsid w:val="00F57D78"/>
    <w:rsid w:val="00F71E4C"/>
    <w:rsid w:val="00F72B89"/>
    <w:rsid w:val="00F83B20"/>
    <w:rsid w:val="00F960A7"/>
    <w:rsid w:val="00FA0803"/>
    <w:rsid w:val="00FA2896"/>
    <w:rsid w:val="00FA3A68"/>
    <w:rsid w:val="00FB5566"/>
    <w:rsid w:val="00FB5B66"/>
    <w:rsid w:val="00FB730B"/>
    <w:rsid w:val="00FC3BC8"/>
    <w:rsid w:val="00FC4A44"/>
    <w:rsid w:val="00FC68E4"/>
    <w:rsid w:val="00FD5FEB"/>
    <w:rsid w:val="00FD6DAE"/>
    <w:rsid w:val="00FE21BA"/>
    <w:rsid w:val="00FF1102"/>
    <w:rsid w:val="00FF2836"/>
    <w:rsid w:val="00FF51C4"/>
    <w:rsid w:val="00FF67D0"/>
    <w:rsid w:val="00FF78D6"/>
    <w:rsid w:val="00FF7C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;"/>
  <w14:docId w14:val="59E7BDDD"/>
  <w15:docId w15:val="{EAB92632-626E-44D9-B9FA-8A8E8F2273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5D40"/>
  </w:style>
  <w:style w:type="paragraph" w:styleId="Ttulo1">
    <w:name w:val="heading 1"/>
    <w:basedOn w:val="Normal"/>
    <w:next w:val="Normal"/>
    <w:link w:val="Ttulo1Car"/>
    <w:uiPriority w:val="9"/>
    <w:qFormat/>
    <w:rsid w:val="00506D0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uiPriority w:val="9"/>
    <w:unhideWhenUsed/>
    <w:rsid w:val="00285B6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uiPriority w:val="9"/>
    <w:unhideWhenUsed/>
    <w:rsid w:val="00285B6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uiPriority w:val="9"/>
    <w:unhideWhenUsed/>
    <w:qFormat/>
    <w:rsid w:val="005F433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uiPriority w:val="9"/>
    <w:unhideWhenUsed/>
    <w:qFormat/>
    <w:rsid w:val="005F433E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uiPriority w:val="9"/>
    <w:unhideWhenUsed/>
    <w:qFormat/>
    <w:rsid w:val="005F433E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5698F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5698F"/>
  </w:style>
  <w:style w:type="paragraph" w:styleId="Piedepgina">
    <w:name w:val="footer"/>
    <w:basedOn w:val="Normal"/>
    <w:link w:val="PiedepginaCar"/>
    <w:uiPriority w:val="99"/>
    <w:unhideWhenUsed/>
    <w:rsid w:val="00C5698F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5698F"/>
  </w:style>
  <w:style w:type="paragraph" w:styleId="Textodeglobo">
    <w:name w:val="Balloon Text"/>
    <w:basedOn w:val="Normal"/>
    <w:link w:val="TextodegloboCar"/>
    <w:uiPriority w:val="99"/>
    <w:semiHidden/>
    <w:unhideWhenUsed/>
    <w:rsid w:val="00C5698F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5698F"/>
    <w:rPr>
      <w:rFonts w:ascii="Lucida Grande" w:hAnsi="Lucida Grande"/>
      <w:sz w:val="18"/>
      <w:szCs w:val="18"/>
    </w:rPr>
  </w:style>
  <w:style w:type="paragraph" w:styleId="Sangradetextonormal">
    <w:name w:val="Body Text Indent"/>
    <w:basedOn w:val="Normal"/>
    <w:link w:val="SangradetextonormalCar"/>
    <w:rsid w:val="00C5698F"/>
    <w:pPr>
      <w:spacing w:after="120"/>
      <w:ind w:left="283"/>
    </w:pPr>
    <w:rPr>
      <w:rFonts w:ascii="Calibri" w:eastAsia="Times New Roman" w:hAnsi="Calibri" w:cs="Times New Roman"/>
      <w:sz w:val="22"/>
      <w:szCs w:val="22"/>
      <w:lang w:val="es-ES"/>
    </w:rPr>
  </w:style>
  <w:style w:type="character" w:customStyle="1" w:styleId="SangradetextonormalCar">
    <w:name w:val="Sangría de texto normal Car"/>
    <w:basedOn w:val="Fuentedeprrafopredeter"/>
    <w:link w:val="Sangradetextonormal"/>
    <w:rsid w:val="00C5698F"/>
    <w:rPr>
      <w:rFonts w:ascii="Calibri" w:eastAsia="Times New Roman" w:hAnsi="Calibri" w:cs="Times New Roman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C5698F"/>
    <w:rPr>
      <w:color w:val="0000FF" w:themeColor="hyperlink"/>
      <w:u w:val="single"/>
    </w:rPr>
  </w:style>
  <w:style w:type="paragraph" w:styleId="Ttulo">
    <w:name w:val="Title"/>
    <w:basedOn w:val="Normal"/>
    <w:link w:val="TtuloCar"/>
    <w:qFormat/>
    <w:rsid w:val="00C5698F"/>
    <w:pPr>
      <w:jc w:val="center"/>
    </w:pPr>
    <w:rPr>
      <w:rFonts w:ascii="Times New Roman" w:eastAsia="Times New Roman" w:hAnsi="Times New Roman" w:cs="Times New Roman"/>
      <w:b/>
      <w:szCs w:val="20"/>
      <w:lang w:val="es-ES"/>
    </w:rPr>
  </w:style>
  <w:style w:type="character" w:customStyle="1" w:styleId="TtuloCar">
    <w:name w:val="Título Car"/>
    <w:basedOn w:val="Fuentedeprrafopredeter"/>
    <w:link w:val="Ttulo"/>
    <w:rsid w:val="00C5698F"/>
    <w:rPr>
      <w:rFonts w:ascii="Times New Roman" w:eastAsia="Times New Roman" w:hAnsi="Times New Roman" w:cs="Times New Roman"/>
      <w:b/>
      <w:szCs w:val="20"/>
      <w:lang w:val="es-ES"/>
    </w:rPr>
  </w:style>
  <w:style w:type="character" w:customStyle="1" w:styleId="Ttulo1Car">
    <w:name w:val="Título 1 Car"/>
    <w:basedOn w:val="Fuentedeprrafopredeter"/>
    <w:link w:val="Ttulo1"/>
    <w:uiPriority w:val="9"/>
    <w:rsid w:val="00506D0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inespaciado">
    <w:name w:val="No Spacing"/>
    <w:uiPriority w:val="1"/>
    <w:qFormat/>
    <w:rsid w:val="00116314"/>
    <w:rPr>
      <w:rFonts w:ascii="Calibri" w:eastAsia="Calibri" w:hAnsi="Calibri" w:cs="Times New Roman"/>
      <w:sz w:val="22"/>
      <w:szCs w:val="22"/>
      <w:lang w:val="es-PE" w:eastAsia="en-US"/>
    </w:rPr>
  </w:style>
  <w:style w:type="paragraph" w:styleId="Prrafodelista">
    <w:name w:val="List Paragraph"/>
    <w:basedOn w:val="Normal"/>
    <w:uiPriority w:val="34"/>
    <w:qFormat/>
    <w:rsid w:val="005E66DA"/>
    <w:pPr>
      <w:ind w:left="720"/>
      <w:contextualSpacing/>
    </w:pPr>
  </w:style>
  <w:style w:type="table" w:styleId="Tablaconcuadrcula">
    <w:name w:val="Table Grid"/>
    <w:basedOn w:val="Tablanormal"/>
    <w:uiPriority w:val="59"/>
    <w:rsid w:val="009E6CA0"/>
    <w:rPr>
      <w:rFonts w:eastAsiaTheme="minorHAnsi"/>
      <w:sz w:val="22"/>
      <w:szCs w:val="22"/>
      <w:lang w:val="es-P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onotapieCar">
    <w:name w:val="Texto nota pie Car"/>
    <w:aliases w:val="fn Car,footnote text Car,Car Car,Footnote Text Char Car,Geneva 9 Car,Font: Geneva 9 Car,Boston 10 Car,f Car,Fußnotentextr Car,Footnote Text arial11 Car,single space Car,FOOTNOTES Car,Footnote Text Char Char Char Char Char Char Car"/>
    <w:basedOn w:val="Fuentedeprrafopredeter"/>
    <w:link w:val="Textonotapie"/>
    <w:uiPriority w:val="99"/>
    <w:semiHidden/>
    <w:locked/>
    <w:rsid w:val="006F2887"/>
    <w:rPr>
      <w:rFonts w:ascii="Cambria" w:eastAsia="Cambria" w:hAnsi="Cambria"/>
      <w:sz w:val="20"/>
      <w:szCs w:val="20"/>
      <w:lang w:val="es-ES"/>
    </w:rPr>
  </w:style>
  <w:style w:type="paragraph" w:styleId="Textonotapie">
    <w:name w:val="footnote text"/>
    <w:aliases w:val="fn,footnote text,Car,Footnote Text Char,Geneva 9,Font: Geneva 9,Boston 10,f,Fußnotentextr,Footnote Text arial11,single space,FOOTNOTES,Footnote Text Char Char Char Char Char Char,Char,single space Char Char,single space Char,ft,FA Fu"/>
    <w:basedOn w:val="Normal"/>
    <w:link w:val="TextonotapieCar"/>
    <w:uiPriority w:val="99"/>
    <w:semiHidden/>
    <w:unhideWhenUsed/>
    <w:qFormat/>
    <w:rsid w:val="006F2887"/>
    <w:rPr>
      <w:rFonts w:ascii="Cambria" w:eastAsia="Cambria" w:hAnsi="Cambria"/>
      <w:sz w:val="20"/>
      <w:szCs w:val="20"/>
      <w:lang w:val="es-ES"/>
    </w:rPr>
  </w:style>
  <w:style w:type="character" w:customStyle="1" w:styleId="TextonotapieCar1">
    <w:name w:val="Texto nota pie Car1"/>
    <w:basedOn w:val="Fuentedeprrafopredeter"/>
    <w:uiPriority w:val="99"/>
    <w:semiHidden/>
    <w:rsid w:val="006F2887"/>
    <w:rPr>
      <w:sz w:val="20"/>
      <w:szCs w:val="20"/>
    </w:rPr>
  </w:style>
  <w:style w:type="character" w:styleId="Refdenotaalpie">
    <w:name w:val="footnote reference"/>
    <w:aliases w:val="BVI fnr,referencia nota al pie,Fußnotenzeichen DISS,16 Point,Superscript 6 Point,Footnote number,Texto de nota al pie,Footnotes refss,Appel note de bas de page,Ref,de nota al pie,Ref. de nota al pie.,Footnote Reference.SES,4_G,ftref"/>
    <w:basedOn w:val="Fuentedeprrafopredeter"/>
    <w:link w:val="BVIfnrCarCarCar"/>
    <w:uiPriority w:val="99"/>
    <w:unhideWhenUsed/>
    <w:qFormat/>
    <w:rsid w:val="006F2887"/>
    <w:rPr>
      <w:vertAlign w:val="superscript"/>
    </w:rPr>
  </w:style>
  <w:style w:type="paragraph" w:customStyle="1" w:styleId="BVIfnrCarCarCar">
    <w:name w:val="BVI fnr Car Car Car"/>
    <w:aliases w:val="ftref Car Car Car Car Car Car Car Car,BVI fnr Char Car Car Car Car Car Car Car Car Car"/>
    <w:basedOn w:val="Normal"/>
    <w:link w:val="Refdenotaalpie"/>
    <w:uiPriority w:val="99"/>
    <w:rsid w:val="006F2887"/>
    <w:pPr>
      <w:spacing w:after="160" w:line="240" w:lineRule="exact"/>
    </w:pPr>
    <w:rPr>
      <w:vertAlign w:val="superscript"/>
    </w:rPr>
  </w:style>
  <w:style w:type="character" w:styleId="Mencinsinresolver">
    <w:name w:val="Unresolved Mention"/>
    <w:basedOn w:val="Fuentedeprrafopredeter"/>
    <w:uiPriority w:val="99"/>
    <w:semiHidden/>
    <w:unhideWhenUsed/>
    <w:rsid w:val="009F338E"/>
    <w:rPr>
      <w:color w:val="605E5C"/>
      <w:shd w:val="clear" w:color="auto" w:fill="E1DFDD"/>
    </w:rPr>
  </w:style>
  <w:style w:type="paragraph" w:customStyle="1" w:styleId="Default">
    <w:name w:val="Default"/>
    <w:rsid w:val="00552C66"/>
    <w:pPr>
      <w:autoSpaceDE w:val="0"/>
      <w:autoSpaceDN w:val="0"/>
      <w:adjustRightInd w:val="0"/>
    </w:pPr>
    <w:rPr>
      <w:rFonts w:ascii="Calibri" w:hAnsi="Calibri" w:cs="Calibri"/>
      <w:color w:val="000000"/>
      <w:lang w:val="es-PE"/>
    </w:rPr>
  </w:style>
  <w:style w:type="character" w:styleId="Hipervnculovisitado">
    <w:name w:val="FollowedHyperlink"/>
    <w:basedOn w:val="Fuentedeprrafopredeter"/>
    <w:uiPriority w:val="99"/>
    <w:semiHidden/>
    <w:unhideWhenUsed/>
    <w:rsid w:val="00686967"/>
    <w:rPr>
      <w:color w:val="800080" w:themeColor="followedHyperlink"/>
      <w:u w:val="single"/>
    </w:rPr>
  </w:style>
  <w:style w:type="paragraph" w:styleId="Descripcin">
    <w:name w:val="caption"/>
    <w:basedOn w:val="Normal"/>
    <w:next w:val="Normal"/>
    <w:uiPriority w:val="35"/>
    <w:unhideWhenUsed/>
    <w:qFormat/>
    <w:rsid w:val="00D15C73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21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2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1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62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7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95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7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95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5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5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3B071A-EC68-4EBE-AF59-8888FF93F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1547</TotalTime>
  <Pages>6</Pages>
  <Words>2046</Words>
  <Characters>11255</Characters>
  <Application>Microsoft Office Word</Application>
  <DocSecurity>0</DocSecurity>
  <Lines>93</Lines>
  <Paragraphs>26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13275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Jhon E. Chahua J.</dc:creator>
  <cp:lastModifiedBy>Chrisna Obregon Acevedo</cp:lastModifiedBy>
  <cp:revision>72</cp:revision>
  <cp:lastPrinted>2025-04-11T19:14:00Z</cp:lastPrinted>
  <dcterms:created xsi:type="dcterms:W3CDTF">2025-03-14T00:40:00Z</dcterms:created>
  <dcterms:modified xsi:type="dcterms:W3CDTF">2025-08-12T22:02:00Z</dcterms:modified>
</cp:coreProperties>
</file>